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Look w:val="04A0" w:firstRow="1" w:lastRow="0" w:firstColumn="1" w:lastColumn="0" w:noHBand="0" w:noVBand="1"/>
      </w:tblPr>
      <w:tblGrid>
        <w:gridCol w:w="2999"/>
        <w:gridCol w:w="3074"/>
        <w:gridCol w:w="2999"/>
      </w:tblGrid>
      <w:tr w:rsidR="003F7ECD" w14:paraId="7FD3641D" w14:textId="77777777" w:rsidTr="003F7ECD">
        <w:trPr>
          <w:tblCellSpacing w:w="15" w:type="dxa"/>
        </w:trPr>
        <w:tc>
          <w:tcPr>
            <w:tcW w:w="1650" w:type="pct"/>
            <w:tcMar>
              <w:top w:w="15" w:type="dxa"/>
              <w:left w:w="15" w:type="dxa"/>
              <w:bottom w:w="15" w:type="dxa"/>
              <w:right w:w="15" w:type="dxa"/>
            </w:tcMar>
            <w:vAlign w:val="center"/>
            <w:hideMark/>
          </w:tcPr>
          <w:p w14:paraId="7244FA19" w14:textId="77777777" w:rsidR="003F7ECD" w:rsidRDefault="003F7ECD">
            <w:pPr>
              <w:spacing w:after="0"/>
              <w:rPr>
                <w:rFonts w:eastAsia="Times New Roman"/>
              </w:rPr>
            </w:pPr>
            <w:bookmarkStart w:id="0" w:name="_GoBack"/>
            <w:r>
              <w:rPr>
                <w:rFonts w:eastAsia="Times New Roman"/>
                <w:noProof/>
                <w:color w:val="0563C1"/>
              </w:rPr>
              <w:drawing>
                <wp:inline distT="0" distB="0" distL="0" distR="0" wp14:anchorId="1D123C75" wp14:editId="5FA6189D">
                  <wp:extent cx="1296035" cy="1115060"/>
                  <wp:effectExtent l="0" t="0" r="0" b="8890"/>
                  <wp:docPr id="1" name="Afbeelding 1" descr="Biocartis Group N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cartis Group NV">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035" cy="1115060"/>
                          </a:xfrm>
                          <a:prstGeom prst="rect">
                            <a:avLst/>
                          </a:prstGeom>
                          <a:noFill/>
                          <a:ln>
                            <a:noFill/>
                          </a:ln>
                        </pic:spPr>
                      </pic:pic>
                    </a:graphicData>
                  </a:graphic>
                </wp:inline>
              </w:drawing>
            </w:r>
            <w:bookmarkEnd w:id="0"/>
          </w:p>
        </w:tc>
        <w:tc>
          <w:tcPr>
            <w:tcW w:w="1700" w:type="pct"/>
            <w:tcMar>
              <w:top w:w="15" w:type="dxa"/>
              <w:left w:w="15" w:type="dxa"/>
              <w:bottom w:w="15" w:type="dxa"/>
              <w:right w:w="15" w:type="dxa"/>
            </w:tcMar>
            <w:vAlign w:val="center"/>
            <w:hideMark/>
          </w:tcPr>
          <w:p w14:paraId="5B3B80CC" w14:textId="77777777" w:rsidR="003F7ECD" w:rsidRDefault="003F7ECD">
            <w:pPr>
              <w:spacing w:after="0"/>
              <w:rPr>
                <w:rFonts w:eastAsia="Times New Roman"/>
              </w:rPr>
            </w:pPr>
            <w:r>
              <w:rPr>
                <w:rFonts w:eastAsia="Times New Roman"/>
              </w:rPr>
              <w:t xml:space="preserve">  </w:t>
            </w:r>
          </w:p>
        </w:tc>
        <w:tc>
          <w:tcPr>
            <w:tcW w:w="1650" w:type="pct"/>
            <w:tcMar>
              <w:top w:w="15" w:type="dxa"/>
              <w:left w:w="15" w:type="dxa"/>
              <w:bottom w:w="15" w:type="dxa"/>
              <w:right w:w="15" w:type="dxa"/>
            </w:tcMar>
            <w:vAlign w:val="center"/>
            <w:hideMark/>
          </w:tcPr>
          <w:p w14:paraId="14C90BB9" w14:textId="77777777" w:rsidR="003F7ECD" w:rsidRDefault="003F7ECD">
            <w:pPr>
              <w:spacing w:after="0"/>
              <w:jc w:val="right"/>
              <w:rPr>
                <w:rFonts w:eastAsia="Times New Roman"/>
              </w:rPr>
            </w:pPr>
            <w:r>
              <w:rPr>
                <w:rFonts w:eastAsia="Times New Roman"/>
              </w:rPr>
              <w:t xml:space="preserve">  </w:t>
            </w:r>
          </w:p>
        </w:tc>
      </w:tr>
    </w:tbl>
    <w:p w14:paraId="6BB4974E" w14:textId="77777777" w:rsidR="003F7ECD" w:rsidRDefault="003F7ECD" w:rsidP="003F7ECD">
      <w:pPr>
        <w:pStyle w:val="Normaalweb"/>
        <w:rPr>
          <w:rFonts w:ascii="Arial" w:hAnsi="Arial" w:cs="Arial"/>
          <w:sz w:val="18"/>
          <w:szCs w:val="18"/>
        </w:rPr>
      </w:pPr>
      <w:proofErr w:type="spellStart"/>
      <w:r>
        <w:rPr>
          <w:rFonts w:ascii="Arial" w:hAnsi="Arial" w:cs="Arial"/>
          <w:i/>
          <w:iCs/>
          <w:sz w:val="18"/>
          <w:szCs w:val="18"/>
        </w:rPr>
        <w:t>Published</w:t>
      </w:r>
      <w:proofErr w:type="spellEnd"/>
      <w:r>
        <w:rPr>
          <w:rFonts w:ascii="Arial" w:hAnsi="Arial" w:cs="Arial"/>
          <w:i/>
          <w:iCs/>
          <w:sz w:val="18"/>
          <w:szCs w:val="18"/>
        </w:rPr>
        <w:t>: 07:00 CET 28-01-2019 /</w:t>
      </w:r>
      <w:proofErr w:type="spellStart"/>
      <w:r>
        <w:rPr>
          <w:rFonts w:ascii="Arial" w:hAnsi="Arial" w:cs="Arial"/>
          <w:i/>
          <w:iCs/>
          <w:sz w:val="18"/>
          <w:szCs w:val="18"/>
        </w:rPr>
        <w:t>GlobeNewswire</w:t>
      </w:r>
      <w:proofErr w:type="spellEnd"/>
      <w:r>
        <w:rPr>
          <w:rFonts w:ascii="Arial" w:hAnsi="Arial" w:cs="Arial"/>
          <w:i/>
          <w:iCs/>
          <w:sz w:val="18"/>
          <w:szCs w:val="18"/>
        </w:rPr>
        <w:t xml:space="preserve"> /Source: </w:t>
      </w:r>
      <w:proofErr w:type="spellStart"/>
      <w:r>
        <w:rPr>
          <w:rFonts w:ascii="Arial" w:hAnsi="Arial" w:cs="Arial"/>
          <w:i/>
          <w:iCs/>
          <w:sz w:val="18"/>
          <w:szCs w:val="18"/>
        </w:rPr>
        <w:t>Biocartis</w:t>
      </w:r>
      <w:proofErr w:type="spellEnd"/>
      <w:r>
        <w:rPr>
          <w:rFonts w:ascii="Arial" w:hAnsi="Arial" w:cs="Arial"/>
          <w:i/>
          <w:iCs/>
          <w:sz w:val="18"/>
          <w:szCs w:val="18"/>
        </w:rPr>
        <w:t xml:space="preserve"> Group NV / : BCART /ISIN: BE0974281132 </w:t>
      </w:r>
    </w:p>
    <w:p w14:paraId="0A1D8566" w14:textId="77777777" w:rsidR="003F7ECD" w:rsidRDefault="003F7ECD" w:rsidP="003F7ECD">
      <w:pPr>
        <w:spacing w:after="0"/>
        <w:rPr>
          <w:rFonts w:ascii="Arial" w:eastAsia="Times New Roman" w:hAnsi="Arial" w:cs="Arial"/>
          <w:sz w:val="24"/>
          <w:szCs w:val="24"/>
        </w:rPr>
      </w:pPr>
      <w:proofErr w:type="spellStart"/>
      <w:r>
        <w:rPr>
          <w:rFonts w:ascii="Arial" w:eastAsia="Times New Roman" w:hAnsi="Arial" w:cs="Arial"/>
          <w:b/>
          <w:bCs/>
          <w:sz w:val="24"/>
          <w:szCs w:val="24"/>
        </w:rPr>
        <w:t>Biocartis</w:t>
      </w:r>
      <w:proofErr w:type="spellEnd"/>
      <w:r>
        <w:rPr>
          <w:rFonts w:ascii="Arial" w:eastAsia="Times New Roman" w:hAnsi="Arial" w:cs="Arial"/>
          <w:b/>
          <w:bCs/>
          <w:sz w:val="24"/>
          <w:szCs w:val="24"/>
        </w:rPr>
        <w:t xml:space="preserve"> Group NV: Openbaarmaking van een transparantiekennisgeving</w:t>
      </w:r>
      <w:r>
        <w:rPr>
          <w:rFonts w:ascii="Arial" w:eastAsia="Times New Roman" w:hAnsi="Arial" w:cs="Arial"/>
          <w:sz w:val="24"/>
          <w:szCs w:val="24"/>
        </w:rPr>
        <w:t xml:space="preserve"> </w:t>
      </w:r>
    </w:p>
    <w:p w14:paraId="2993497C" w14:textId="77777777" w:rsidR="003F7ECD" w:rsidRDefault="003F7ECD" w:rsidP="003F7ECD">
      <w:pPr>
        <w:spacing w:after="0"/>
        <w:rPr>
          <w:rFonts w:eastAsia="Times New Roman"/>
        </w:rPr>
      </w:pPr>
    </w:p>
    <w:p w14:paraId="1276F311" w14:textId="77777777" w:rsidR="003F7ECD" w:rsidRDefault="003F7ECD" w:rsidP="003F7ECD">
      <w:pPr>
        <w:pStyle w:val="hs11"/>
        <w:spacing w:after="0"/>
        <w:rPr>
          <w:rFonts w:ascii="Arial" w:hAnsi="Arial" w:cs="Arial"/>
        </w:rPr>
      </w:pPr>
      <w:r>
        <w:rPr>
          <w:rStyle w:val="hugindetectedhighlightederror"/>
          <w:rFonts w:ascii="Tahoma" w:hAnsi="Tahoma" w:cs="Tahoma"/>
          <w:sz w:val="24"/>
          <w:szCs w:val="24"/>
          <w:u w:val="single"/>
        </w:rPr>
        <w:t>PERSBERICHT</w:t>
      </w:r>
      <w:r>
        <w:rPr>
          <w:rStyle w:val="hugindetectedhighlightederror"/>
          <w:rFonts w:ascii="Tahoma" w:hAnsi="Tahoma" w:cs="Tahoma"/>
          <w:sz w:val="24"/>
          <w:szCs w:val="24"/>
        </w:rPr>
        <w:t xml:space="preserve">: </w:t>
      </w:r>
      <w:r>
        <w:rPr>
          <w:rStyle w:val="hs31"/>
          <w:rFonts w:ascii="Tahoma" w:hAnsi="Tahoma" w:cs="Tahoma"/>
        </w:rPr>
        <w:t>GEREGLEMENTEERDE INFORMATIE</w:t>
      </w:r>
    </w:p>
    <w:p w14:paraId="78577E8E" w14:textId="77777777" w:rsidR="003F7ECD" w:rsidRDefault="003F7ECD" w:rsidP="003F7ECD">
      <w:pPr>
        <w:pStyle w:val="hs11"/>
        <w:spacing w:after="0"/>
        <w:rPr>
          <w:rFonts w:ascii="Arial" w:hAnsi="Arial" w:cs="Arial"/>
        </w:rPr>
      </w:pPr>
      <w:r>
        <w:rPr>
          <w:rStyle w:val="hs31"/>
          <w:rFonts w:ascii="Tahoma" w:hAnsi="Tahoma" w:cs="Tahoma"/>
        </w:rPr>
        <w:t>28 januari 2019, 07:00 CET</w:t>
      </w:r>
    </w:p>
    <w:p w14:paraId="4F9F144E" w14:textId="77777777" w:rsidR="003F7ECD" w:rsidRDefault="003F7ECD" w:rsidP="003F7ECD">
      <w:pPr>
        <w:pStyle w:val="hs12"/>
        <w:rPr>
          <w:rFonts w:ascii="Arial" w:hAnsi="Arial" w:cs="Arial"/>
        </w:rPr>
      </w:pPr>
      <w:r>
        <w:rPr>
          <w:rFonts w:ascii="Tahoma" w:hAnsi="Tahoma" w:cs="Tahoma"/>
          <w:b/>
          <w:bCs/>
          <w:sz w:val="30"/>
          <w:szCs w:val="30"/>
        </w:rPr>
        <w:t>Openbaarmaking van een transparantiekennisgeving</w:t>
      </w:r>
    </w:p>
    <w:p w14:paraId="24DAE4F5" w14:textId="77777777" w:rsidR="003F7ECD" w:rsidRDefault="003F7ECD" w:rsidP="003F7ECD">
      <w:pPr>
        <w:pStyle w:val="hs8"/>
        <w:rPr>
          <w:rFonts w:ascii="Arial" w:hAnsi="Arial" w:cs="Arial"/>
        </w:rPr>
      </w:pPr>
      <w:r>
        <w:rPr>
          <w:rFonts w:ascii="Tahoma" w:hAnsi="Tahoma" w:cs="Tahoma"/>
          <w:b/>
          <w:bCs/>
          <w:sz w:val="18"/>
          <w:szCs w:val="18"/>
        </w:rPr>
        <w:t xml:space="preserve">Mechelen, België, 28 januari 2019 - </w:t>
      </w:r>
      <w:proofErr w:type="spellStart"/>
      <w:r>
        <w:rPr>
          <w:rStyle w:val="hs51"/>
          <w:rFonts w:ascii="Tahoma" w:hAnsi="Tahoma" w:cs="Tahoma"/>
        </w:rPr>
        <w:t>Biocartis</w:t>
      </w:r>
      <w:proofErr w:type="spellEnd"/>
      <w:r>
        <w:rPr>
          <w:rStyle w:val="hs51"/>
          <w:rFonts w:ascii="Tahoma" w:hAnsi="Tahoma" w:cs="Tahoma"/>
        </w:rPr>
        <w:t xml:space="preserve"> Group NV (de 'Vennootschap' of '</w:t>
      </w:r>
      <w:proofErr w:type="spellStart"/>
      <w:r>
        <w:rPr>
          <w:rStyle w:val="hs51"/>
          <w:rFonts w:ascii="Tahoma" w:hAnsi="Tahoma" w:cs="Tahoma"/>
        </w:rPr>
        <w:t>Biocartis</w:t>
      </w:r>
      <w:proofErr w:type="spellEnd"/>
      <w:r>
        <w:rPr>
          <w:rStyle w:val="hs51"/>
          <w:rFonts w:ascii="Tahoma" w:hAnsi="Tahoma" w:cs="Tahoma"/>
        </w:rPr>
        <w:t xml:space="preserve">'), een innovatief bedrijf in de moleculaire diagnostiek (Euronext Brussels: BCART), kondigt vandaag aan, overeenkomstig artikel 14, lid 1 van de Belgische Wet van 2 mei 2007 op de openbaarmaking van belangrijke deelnemingen in emittenten waarvan aandelen zijn toegelaten tot de verhandeling op een gereglementeerde markt (de 'Belgische Transparantiewet'), dat zij op 23 januari 2019 een transparantiekennisgeving (de 'Kennisgeving') heeft ontvangen waaruit blijkt dat de deelneming van </w:t>
      </w:r>
      <w:proofErr w:type="spellStart"/>
      <w:r>
        <w:rPr>
          <w:rStyle w:val="hs51"/>
          <w:rFonts w:ascii="Tahoma" w:hAnsi="Tahoma" w:cs="Tahoma"/>
        </w:rPr>
        <w:t>Capfi</w:t>
      </w:r>
      <w:proofErr w:type="spellEnd"/>
      <w:r>
        <w:rPr>
          <w:rStyle w:val="hs51"/>
          <w:rFonts w:ascii="Tahoma" w:hAnsi="Tahoma" w:cs="Tahoma"/>
        </w:rPr>
        <w:t xml:space="preserve"> Delen Asset Management NV op 17 januari 2019 onder de kennisgevingsdrempel van 3% is gezakt ingevolge een overdracht van </w:t>
      </w:r>
      <w:proofErr w:type="spellStart"/>
      <w:r>
        <w:rPr>
          <w:rStyle w:val="hs51"/>
          <w:rFonts w:ascii="Tahoma" w:hAnsi="Tahoma" w:cs="Tahoma"/>
        </w:rPr>
        <w:t>stemrechtverlenende</w:t>
      </w:r>
      <w:proofErr w:type="spellEnd"/>
      <w:r>
        <w:rPr>
          <w:rStyle w:val="hs51"/>
          <w:rFonts w:ascii="Tahoma" w:hAnsi="Tahoma" w:cs="Tahoma"/>
        </w:rPr>
        <w:t xml:space="preserve"> effecten. </w:t>
      </w:r>
    </w:p>
    <w:p w14:paraId="7C8E3EB3" w14:textId="77777777" w:rsidR="003F7ECD" w:rsidRDefault="003F7ECD" w:rsidP="003F7ECD">
      <w:pPr>
        <w:pStyle w:val="hs7"/>
        <w:rPr>
          <w:rFonts w:ascii="Tahoma" w:hAnsi="Tahoma" w:cs="Tahoma"/>
        </w:rPr>
      </w:pPr>
      <w:r>
        <w:rPr>
          <w:rFonts w:ascii="Tahoma" w:hAnsi="Tahoma" w:cs="Tahoma"/>
        </w:rPr>
        <w:t>De Kennisgeving bevat de volgende informatie:</w:t>
      </w:r>
    </w:p>
    <w:p w14:paraId="780865F7" w14:textId="77777777" w:rsidR="003F7ECD" w:rsidRDefault="003F7ECD" w:rsidP="003F7ECD">
      <w:pPr>
        <w:pStyle w:val="hs7"/>
        <w:rPr>
          <w:rFonts w:ascii="Tahoma" w:hAnsi="Tahoma" w:cs="Tahoma"/>
        </w:rPr>
      </w:pPr>
      <w:r>
        <w:rPr>
          <w:rFonts w:ascii="Tahoma" w:hAnsi="Tahoma" w:cs="Tahoma"/>
        </w:rPr>
        <w:t> </w:t>
      </w:r>
    </w:p>
    <w:p w14:paraId="753CA831" w14:textId="77777777" w:rsidR="003F7ECD" w:rsidRDefault="003F7ECD" w:rsidP="003F7ECD">
      <w:pPr>
        <w:pStyle w:val="hs5"/>
        <w:numPr>
          <w:ilvl w:val="0"/>
          <w:numId w:val="1"/>
        </w:numPr>
        <w:rPr>
          <w:rFonts w:ascii="Tahoma" w:eastAsia="Times New Roman" w:hAnsi="Tahoma" w:cs="Tahoma"/>
        </w:rPr>
      </w:pPr>
      <w:r>
        <w:rPr>
          <w:rFonts w:ascii="Tahoma" w:eastAsia="Times New Roman" w:hAnsi="Tahoma" w:cs="Tahoma"/>
          <w:b/>
          <w:bCs/>
        </w:rPr>
        <w:t>Reden van de Kennisgeving</w:t>
      </w:r>
      <w:r>
        <w:rPr>
          <w:rFonts w:ascii="Tahoma" w:eastAsia="Times New Roman" w:hAnsi="Tahoma" w:cs="Tahoma"/>
        </w:rPr>
        <w:t xml:space="preserve">: Verwerving of overdracht van </w:t>
      </w:r>
      <w:proofErr w:type="spellStart"/>
      <w:r>
        <w:rPr>
          <w:rFonts w:ascii="Tahoma" w:eastAsia="Times New Roman" w:hAnsi="Tahoma" w:cs="Tahoma"/>
        </w:rPr>
        <w:t>stemrechtverlenende</w:t>
      </w:r>
      <w:proofErr w:type="spellEnd"/>
      <w:r>
        <w:rPr>
          <w:rFonts w:ascii="Tahoma" w:eastAsia="Times New Roman" w:hAnsi="Tahoma" w:cs="Tahoma"/>
        </w:rPr>
        <w:t xml:space="preserve"> effecten of stemrechten. Onderschrijding van de laagste drempel.</w:t>
      </w:r>
      <w:r>
        <w:rPr>
          <w:rFonts w:ascii="Tahoma" w:eastAsia="Times New Roman" w:hAnsi="Tahoma" w:cs="Tahoma"/>
        </w:rPr>
        <w:br/>
        <w:t> </w:t>
      </w:r>
    </w:p>
    <w:p w14:paraId="330D5C8F" w14:textId="77777777" w:rsidR="003F7ECD" w:rsidRDefault="003F7ECD" w:rsidP="003F7ECD">
      <w:pPr>
        <w:pStyle w:val="hs5"/>
        <w:numPr>
          <w:ilvl w:val="0"/>
          <w:numId w:val="1"/>
        </w:numPr>
        <w:rPr>
          <w:rFonts w:ascii="Tahoma" w:eastAsia="Times New Roman" w:hAnsi="Tahoma" w:cs="Tahoma"/>
        </w:rPr>
      </w:pPr>
      <w:r>
        <w:rPr>
          <w:rFonts w:ascii="Tahoma" w:eastAsia="Times New Roman" w:hAnsi="Tahoma" w:cs="Tahoma"/>
          <w:b/>
          <w:bCs/>
        </w:rPr>
        <w:t>Kennisgeving door</w:t>
      </w:r>
      <w:r>
        <w:rPr>
          <w:rFonts w:ascii="Tahoma" w:eastAsia="Times New Roman" w:hAnsi="Tahoma" w:cs="Tahoma"/>
        </w:rPr>
        <w:t>: Een persoon die alleen kennis geeft.</w:t>
      </w:r>
      <w:r>
        <w:rPr>
          <w:rFonts w:ascii="Tahoma" w:eastAsia="Times New Roman" w:hAnsi="Tahoma" w:cs="Tahoma"/>
        </w:rPr>
        <w:br/>
        <w:t> </w:t>
      </w:r>
    </w:p>
    <w:p w14:paraId="22A49E10" w14:textId="77777777" w:rsidR="003F7ECD" w:rsidRDefault="003F7ECD" w:rsidP="003F7ECD">
      <w:pPr>
        <w:pStyle w:val="hs5"/>
        <w:numPr>
          <w:ilvl w:val="0"/>
          <w:numId w:val="1"/>
        </w:numPr>
        <w:rPr>
          <w:rFonts w:ascii="Tahoma" w:eastAsia="Times New Roman" w:hAnsi="Tahoma" w:cs="Tahoma"/>
        </w:rPr>
      </w:pPr>
      <w:proofErr w:type="spellStart"/>
      <w:r>
        <w:rPr>
          <w:rFonts w:ascii="Tahoma" w:eastAsia="Times New Roman" w:hAnsi="Tahoma" w:cs="Tahoma"/>
          <w:b/>
          <w:bCs/>
        </w:rPr>
        <w:t>Kennisgevingsplichtige</w:t>
      </w:r>
      <w:proofErr w:type="spellEnd"/>
      <w:r>
        <w:rPr>
          <w:rFonts w:ascii="Tahoma" w:eastAsia="Times New Roman" w:hAnsi="Tahoma" w:cs="Tahoma"/>
          <w:b/>
          <w:bCs/>
        </w:rPr>
        <w:t xml:space="preserve"> personen</w:t>
      </w:r>
      <w:r>
        <w:rPr>
          <w:rFonts w:ascii="Tahoma" w:eastAsia="Times New Roman" w:hAnsi="Tahoma" w:cs="Tahoma"/>
        </w:rPr>
        <w:t xml:space="preserve">: </w:t>
      </w:r>
      <w:proofErr w:type="spellStart"/>
      <w:r>
        <w:rPr>
          <w:rFonts w:ascii="Tahoma" w:eastAsia="Times New Roman" w:hAnsi="Tahoma" w:cs="Tahoma"/>
        </w:rPr>
        <w:t>Capfi</w:t>
      </w:r>
      <w:proofErr w:type="spellEnd"/>
      <w:r>
        <w:rPr>
          <w:rFonts w:ascii="Tahoma" w:eastAsia="Times New Roman" w:hAnsi="Tahoma" w:cs="Tahoma"/>
        </w:rPr>
        <w:t xml:space="preserve"> Delen Asset Management NV, Jan Van </w:t>
      </w:r>
      <w:proofErr w:type="spellStart"/>
      <w:r>
        <w:rPr>
          <w:rFonts w:ascii="Tahoma" w:eastAsia="Times New Roman" w:hAnsi="Tahoma" w:cs="Tahoma"/>
        </w:rPr>
        <w:t>Rijswijcklaan</w:t>
      </w:r>
      <w:proofErr w:type="spellEnd"/>
      <w:r>
        <w:rPr>
          <w:rFonts w:ascii="Tahoma" w:eastAsia="Times New Roman" w:hAnsi="Tahoma" w:cs="Tahoma"/>
        </w:rPr>
        <w:t xml:space="preserve"> 178, 2020 Antwerpen, België.</w:t>
      </w:r>
      <w:r>
        <w:rPr>
          <w:rFonts w:ascii="Tahoma" w:eastAsia="Times New Roman" w:hAnsi="Tahoma" w:cs="Tahoma"/>
        </w:rPr>
        <w:br/>
        <w:t> </w:t>
      </w:r>
    </w:p>
    <w:p w14:paraId="20508390" w14:textId="77777777" w:rsidR="003F7ECD" w:rsidRDefault="003F7ECD" w:rsidP="003F7ECD">
      <w:pPr>
        <w:pStyle w:val="hs2"/>
        <w:numPr>
          <w:ilvl w:val="0"/>
          <w:numId w:val="1"/>
        </w:numPr>
        <w:rPr>
          <w:rFonts w:ascii="Arial" w:eastAsia="Times New Roman" w:hAnsi="Arial" w:cs="Arial"/>
        </w:rPr>
      </w:pPr>
      <w:r>
        <w:rPr>
          <w:rFonts w:ascii="Tahoma" w:eastAsia="Times New Roman" w:hAnsi="Tahoma" w:cs="Tahoma"/>
          <w:b/>
          <w:bCs/>
          <w:sz w:val="18"/>
          <w:szCs w:val="18"/>
        </w:rPr>
        <w:t>Transactiedatum</w:t>
      </w:r>
      <w:r>
        <w:rPr>
          <w:rStyle w:val="hs51"/>
          <w:rFonts w:ascii="Tahoma" w:eastAsia="Times New Roman" w:hAnsi="Tahoma" w:cs="Tahoma"/>
        </w:rPr>
        <w:t>: 17 januari 2019.</w:t>
      </w:r>
    </w:p>
    <w:p w14:paraId="4BD3E42F" w14:textId="77777777" w:rsidR="003F7ECD" w:rsidRDefault="003F7ECD" w:rsidP="003F7ECD">
      <w:pPr>
        <w:pStyle w:val="hs5"/>
        <w:numPr>
          <w:ilvl w:val="0"/>
          <w:numId w:val="1"/>
        </w:numPr>
        <w:rPr>
          <w:rFonts w:ascii="Tahoma" w:eastAsia="Times New Roman" w:hAnsi="Tahoma" w:cs="Tahoma"/>
        </w:rPr>
      </w:pPr>
      <w:r>
        <w:rPr>
          <w:rFonts w:ascii="Tahoma" w:eastAsia="Times New Roman" w:hAnsi="Tahoma" w:cs="Tahoma"/>
          <w:b/>
          <w:bCs/>
        </w:rPr>
        <w:t>Onderschreden drempel</w:t>
      </w:r>
      <w:r>
        <w:rPr>
          <w:rFonts w:ascii="Tahoma" w:eastAsia="Times New Roman" w:hAnsi="Tahoma" w:cs="Tahoma"/>
        </w:rPr>
        <w:t>: 3%.</w:t>
      </w:r>
      <w:r>
        <w:rPr>
          <w:rFonts w:ascii="Tahoma" w:eastAsia="Times New Roman" w:hAnsi="Tahoma" w:cs="Tahoma"/>
        </w:rPr>
        <w:br/>
        <w:t> </w:t>
      </w:r>
    </w:p>
    <w:p w14:paraId="1AE5B3BF" w14:textId="77777777" w:rsidR="003F7ECD" w:rsidRDefault="003F7ECD" w:rsidP="003F7ECD">
      <w:pPr>
        <w:pStyle w:val="hs5"/>
        <w:numPr>
          <w:ilvl w:val="0"/>
          <w:numId w:val="1"/>
        </w:numPr>
        <w:rPr>
          <w:rFonts w:ascii="Tahoma" w:eastAsia="Times New Roman" w:hAnsi="Tahoma" w:cs="Tahoma"/>
        </w:rPr>
      </w:pPr>
      <w:r>
        <w:rPr>
          <w:rFonts w:ascii="Tahoma" w:eastAsia="Times New Roman" w:hAnsi="Tahoma" w:cs="Tahoma"/>
          <w:b/>
          <w:bCs/>
        </w:rPr>
        <w:t>Noemer</w:t>
      </w:r>
      <w:r>
        <w:rPr>
          <w:rFonts w:ascii="Tahoma" w:eastAsia="Times New Roman" w:hAnsi="Tahoma" w:cs="Tahoma"/>
        </w:rPr>
        <w:t>:</w:t>
      </w:r>
      <w:r>
        <w:rPr>
          <w:rFonts w:ascii="Tahoma" w:eastAsia="Times New Roman" w:hAnsi="Tahoma" w:cs="Tahoma"/>
          <w:b/>
          <w:bCs/>
        </w:rPr>
        <w:t xml:space="preserve"> </w:t>
      </w:r>
      <w:r>
        <w:rPr>
          <w:rFonts w:ascii="Tahoma" w:eastAsia="Times New Roman" w:hAnsi="Tahoma" w:cs="Tahoma"/>
        </w:rPr>
        <w:t>51.361.088.</w:t>
      </w:r>
      <w:r>
        <w:rPr>
          <w:rFonts w:ascii="Tahoma" w:eastAsia="Times New Roman" w:hAnsi="Tahoma" w:cs="Tahoma"/>
        </w:rPr>
        <w:br/>
        <w:t> </w:t>
      </w:r>
    </w:p>
    <w:p w14:paraId="792D639A" w14:textId="77777777" w:rsidR="003F7ECD" w:rsidRDefault="003F7ECD" w:rsidP="003F7ECD">
      <w:pPr>
        <w:pStyle w:val="hs5"/>
        <w:numPr>
          <w:ilvl w:val="0"/>
          <w:numId w:val="1"/>
        </w:numPr>
        <w:rPr>
          <w:rFonts w:ascii="Tahoma" w:eastAsia="Times New Roman" w:hAnsi="Tahoma" w:cs="Tahoma"/>
        </w:rPr>
      </w:pPr>
      <w:r>
        <w:rPr>
          <w:rFonts w:ascii="Tahoma" w:eastAsia="Times New Roman" w:hAnsi="Tahoma" w:cs="Tahoma"/>
          <w:b/>
          <w:bCs/>
        </w:rPr>
        <w:t>Details van de Notificatie</w:t>
      </w:r>
      <w:r>
        <w:rPr>
          <w:rFonts w:ascii="Tahoma" w:eastAsia="Times New Roman" w:hAnsi="Tahoma" w:cs="Tahoma"/>
        </w:rPr>
        <w:t xml:space="preserve">: </w:t>
      </w:r>
      <w:proofErr w:type="spellStart"/>
      <w:r>
        <w:rPr>
          <w:rFonts w:ascii="Tahoma" w:eastAsia="Times New Roman" w:hAnsi="Tahoma" w:cs="Tahoma"/>
        </w:rPr>
        <w:t>Capfi</w:t>
      </w:r>
      <w:proofErr w:type="spellEnd"/>
      <w:r>
        <w:rPr>
          <w:rFonts w:ascii="Tahoma" w:eastAsia="Times New Roman" w:hAnsi="Tahoma" w:cs="Tahoma"/>
        </w:rPr>
        <w:t xml:space="preserve"> Delen Asset Management NV houdt 1.407.633 </w:t>
      </w:r>
      <w:proofErr w:type="spellStart"/>
      <w:r>
        <w:rPr>
          <w:rFonts w:ascii="Tahoma" w:eastAsia="Times New Roman" w:hAnsi="Tahoma" w:cs="Tahoma"/>
        </w:rPr>
        <w:t>stemrechtverlenende</w:t>
      </w:r>
      <w:proofErr w:type="spellEnd"/>
      <w:r>
        <w:rPr>
          <w:rFonts w:ascii="Tahoma" w:eastAsia="Times New Roman" w:hAnsi="Tahoma" w:cs="Tahoma"/>
        </w:rPr>
        <w:t xml:space="preserve"> effecten. </w:t>
      </w:r>
      <w:r>
        <w:rPr>
          <w:rFonts w:ascii="Tahoma" w:eastAsia="Times New Roman" w:hAnsi="Tahoma" w:cs="Tahoma"/>
        </w:rPr>
        <w:br/>
        <w:t> </w:t>
      </w:r>
    </w:p>
    <w:p w14:paraId="5D52F425" w14:textId="77777777" w:rsidR="003F7ECD" w:rsidRDefault="003F7ECD" w:rsidP="003F7ECD">
      <w:pPr>
        <w:pStyle w:val="hs5"/>
        <w:numPr>
          <w:ilvl w:val="0"/>
          <w:numId w:val="1"/>
        </w:numPr>
        <w:rPr>
          <w:rFonts w:ascii="Tahoma" w:eastAsia="Times New Roman" w:hAnsi="Tahoma" w:cs="Tahoma"/>
        </w:rPr>
      </w:pPr>
      <w:r>
        <w:rPr>
          <w:rFonts w:ascii="Tahoma" w:eastAsia="Times New Roman" w:hAnsi="Tahoma" w:cs="Tahoma"/>
          <w:b/>
          <w:bCs/>
        </w:rPr>
        <w:t>Volledige keten van gecontroleerde ondernemingen via dewelke de deelneming daadwerkelijk wordt gehouden</w:t>
      </w:r>
      <w:r>
        <w:rPr>
          <w:rFonts w:ascii="Tahoma" w:eastAsia="Times New Roman" w:hAnsi="Tahoma" w:cs="Tahoma"/>
        </w:rPr>
        <w:t xml:space="preserve">: </w:t>
      </w:r>
      <w:proofErr w:type="spellStart"/>
      <w:r>
        <w:rPr>
          <w:rFonts w:ascii="Tahoma" w:eastAsia="Times New Roman" w:hAnsi="Tahoma" w:cs="Tahoma"/>
        </w:rPr>
        <w:t>Capfi</w:t>
      </w:r>
      <w:proofErr w:type="spellEnd"/>
      <w:r>
        <w:rPr>
          <w:rFonts w:ascii="Tahoma" w:eastAsia="Times New Roman" w:hAnsi="Tahoma" w:cs="Tahoma"/>
        </w:rPr>
        <w:t xml:space="preserve"> Delen Asset Management NV wordt rechtstreeks gecontroleerd door Delen Private Bank NV, en wordt ultiem gecontroleerd door Stichting Administratiekantoor 'Het Torentje'. Voor meer informatie wordt verwezen naar de Kennisgeving die </w:t>
      </w:r>
      <w:hyperlink r:id="rId7" w:tgtFrame="_blank" w:history="1">
        <w:proofErr w:type="spellStart"/>
        <w:r>
          <w:rPr>
            <w:rStyle w:val="Hyperlink"/>
            <w:rFonts w:ascii="Tahoma" w:eastAsia="Times New Roman" w:hAnsi="Tahoma" w:cs="Tahoma"/>
            <w:u w:val="single"/>
            <w:lang w:val="en-GB"/>
          </w:rPr>
          <w:t>hier</w:t>
        </w:r>
        <w:proofErr w:type="spellEnd"/>
      </w:hyperlink>
      <w:r>
        <w:rPr>
          <w:rFonts w:ascii="Tahoma" w:eastAsia="Times New Roman" w:hAnsi="Tahoma" w:cs="Tahoma"/>
        </w:rPr>
        <w:t xml:space="preserve"> kan worden geraadpleegd op de </w:t>
      </w:r>
      <w:proofErr w:type="spellStart"/>
      <w:r>
        <w:rPr>
          <w:rFonts w:ascii="Tahoma" w:eastAsia="Times New Roman" w:hAnsi="Tahoma" w:cs="Tahoma"/>
        </w:rPr>
        <w:t>Biocartis</w:t>
      </w:r>
      <w:proofErr w:type="spellEnd"/>
      <w:r>
        <w:rPr>
          <w:rFonts w:ascii="Tahoma" w:eastAsia="Times New Roman" w:hAnsi="Tahoma" w:cs="Tahoma"/>
        </w:rPr>
        <w:t xml:space="preserve"> website.</w:t>
      </w:r>
    </w:p>
    <w:p w14:paraId="526D0A2E" w14:textId="77777777" w:rsidR="003F7ECD" w:rsidRDefault="003F7ECD" w:rsidP="003F7ECD">
      <w:pPr>
        <w:pStyle w:val="hs7"/>
        <w:ind w:left="720"/>
        <w:rPr>
          <w:rFonts w:ascii="Tahoma" w:hAnsi="Tahoma" w:cs="Tahoma"/>
        </w:rPr>
      </w:pPr>
      <w:r>
        <w:rPr>
          <w:rFonts w:ascii="Tahoma" w:hAnsi="Tahoma" w:cs="Tahoma"/>
        </w:rPr>
        <w:t> </w:t>
      </w:r>
    </w:p>
    <w:p w14:paraId="3C2C5F47" w14:textId="77777777" w:rsidR="003F7ECD" w:rsidRDefault="003F7ECD" w:rsidP="003F7ECD">
      <w:pPr>
        <w:pStyle w:val="hs7"/>
        <w:rPr>
          <w:rFonts w:ascii="Tahoma" w:hAnsi="Tahoma" w:cs="Tahoma"/>
        </w:rPr>
      </w:pPr>
      <w:r>
        <w:rPr>
          <w:rFonts w:ascii="Tahoma" w:hAnsi="Tahoma" w:cs="Tahoma"/>
        </w:rPr>
        <w:t xml:space="preserve">De Kennisgeving is </w:t>
      </w:r>
      <w:hyperlink r:id="rId8" w:tgtFrame="_blank" w:history="1">
        <w:proofErr w:type="spellStart"/>
        <w:r>
          <w:rPr>
            <w:rStyle w:val="Hyperlink"/>
            <w:rFonts w:ascii="Tahoma" w:hAnsi="Tahoma" w:cs="Tahoma"/>
            <w:u w:val="single"/>
            <w:lang w:val="en-GB"/>
          </w:rPr>
          <w:t>hier</w:t>
        </w:r>
        <w:proofErr w:type="spellEnd"/>
      </w:hyperlink>
      <w:r>
        <w:rPr>
          <w:rFonts w:ascii="Tahoma" w:hAnsi="Tahoma" w:cs="Tahoma"/>
        </w:rPr>
        <w:t xml:space="preserve"> ter beschikking op de website van de Vennootschap. </w:t>
      </w:r>
    </w:p>
    <w:p w14:paraId="0D4FF519" w14:textId="77777777" w:rsidR="003F7ECD" w:rsidRDefault="003F7ECD" w:rsidP="003F7ECD">
      <w:pPr>
        <w:pStyle w:val="hs7"/>
        <w:rPr>
          <w:rFonts w:ascii="Tahoma" w:hAnsi="Tahoma" w:cs="Tahoma"/>
        </w:rPr>
      </w:pPr>
      <w:r>
        <w:rPr>
          <w:rFonts w:ascii="Tahoma" w:hAnsi="Tahoma" w:cs="Tahoma"/>
        </w:rPr>
        <w:t> </w:t>
      </w:r>
    </w:p>
    <w:p w14:paraId="4F7A6C70" w14:textId="77777777" w:rsidR="003F7ECD" w:rsidRDefault="003F7ECD" w:rsidP="003F7ECD">
      <w:pPr>
        <w:pStyle w:val="hs7"/>
        <w:spacing w:after="240"/>
        <w:rPr>
          <w:rFonts w:ascii="Tahoma" w:hAnsi="Tahoma" w:cs="Tahoma"/>
        </w:rPr>
      </w:pPr>
      <w:r>
        <w:rPr>
          <w:rFonts w:ascii="Tahoma" w:hAnsi="Tahoma" w:cs="Tahoma"/>
        </w:rPr>
        <w:t>Krachtens de Belgische Transparantiewet en de statuten van de Vennootschap is een kennisgeving aan de Vennootschap en aan de Belgische Autoriteit voor Financiële Diensten en Markten ('FSMA') vereist door alle natuurlijke personen en rechtspersonen, telkens wanneer het percentage van stemrechten in de Vennootschap gehouden door zulke personen de drempel van 3%, 5%, 10%, en ieder verder veelvoud van 5%, van het totale aantal stemrechten in de Vennootschap bereikt, overschrijdt of onderschrijdt.</w:t>
      </w:r>
    </w:p>
    <w:p w14:paraId="269EF2E9" w14:textId="77777777" w:rsidR="003F7ECD" w:rsidRDefault="003F7ECD" w:rsidP="003F7ECD">
      <w:pPr>
        <w:pStyle w:val="hs10"/>
        <w:ind w:firstLine="720"/>
        <w:rPr>
          <w:rFonts w:ascii="Arial" w:hAnsi="Arial" w:cs="Arial"/>
        </w:rPr>
      </w:pPr>
      <w:r>
        <w:rPr>
          <w:rFonts w:ascii="Tahoma" w:hAnsi="Tahoma" w:cs="Tahoma"/>
          <w:b/>
          <w:bCs/>
          <w:sz w:val="18"/>
          <w:szCs w:val="18"/>
        </w:rPr>
        <w:t>----- EINDE ----</w:t>
      </w:r>
    </w:p>
    <w:p w14:paraId="3AD98F8A" w14:textId="77777777" w:rsidR="003F7ECD" w:rsidRDefault="003F7ECD" w:rsidP="003F7ECD">
      <w:pPr>
        <w:pStyle w:val="hs11"/>
        <w:rPr>
          <w:rFonts w:ascii="Arial" w:hAnsi="Arial" w:cs="Arial"/>
        </w:rPr>
      </w:pPr>
      <w:r>
        <w:rPr>
          <w:rFonts w:ascii="Tahoma" w:hAnsi="Tahoma" w:cs="Tahoma"/>
          <w:b/>
          <w:bCs/>
          <w:sz w:val="18"/>
          <w:szCs w:val="18"/>
          <w:lang w:val="en-GB"/>
        </w:rPr>
        <w:lastRenderedPageBreak/>
        <w:t xml:space="preserve">Meer </w:t>
      </w:r>
      <w:proofErr w:type="spellStart"/>
      <w:r>
        <w:rPr>
          <w:rFonts w:ascii="Tahoma" w:hAnsi="Tahoma" w:cs="Tahoma"/>
          <w:b/>
          <w:bCs/>
          <w:sz w:val="18"/>
          <w:szCs w:val="18"/>
          <w:lang w:val="en-GB"/>
        </w:rPr>
        <w:t>informatie</w:t>
      </w:r>
      <w:proofErr w:type="spellEnd"/>
      <w:r>
        <w:rPr>
          <w:rFonts w:ascii="Tahoma" w:hAnsi="Tahoma" w:cs="Tahoma"/>
          <w:b/>
          <w:bCs/>
          <w:sz w:val="18"/>
          <w:szCs w:val="18"/>
          <w:lang w:val="en-GB"/>
        </w:rPr>
        <w:t>:</w:t>
      </w:r>
      <w:r>
        <w:rPr>
          <w:rFonts w:ascii="Tahoma" w:hAnsi="Tahoma" w:cs="Tahoma"/>
          <w:b/>
          <w:bCs/>
          <w:sz w:val="18"/>
          <w:szCs w:val="18"/>
          <w:lang w:val="en-GB"/>
        </w:rPr>
        <w:br/>
      </w:r>
      <w:r>
        <w:rPr>
          <w:rStyle w:val="hs51"/>
          <w:rFonts w:ascii="Tahoma" w:hAnsi="Tahoma" w:cs="Tahoma"/>
          <w:lang w:val="en-GB"/>
        </w:rPr>
        <w:t xml:space="preserve">Renate </w:t>
      </w:r>
      <w:proofErr w:type="spellStart"/>
      <w:r>
        <w:rPr>
          <w:rStyle w:val="hs51"/>
          <w:rFonts w:ascii="Tahoma" w:hAnsi="Tahoma" w:cs="Tahoma"/>
          <w:lang w:val="en-GB"/>
        </w:rPr>
        <w:t>Degrave</w:t>
      </w:r>
      <w:proofErr w:type="spellEnd"/>
      <w:r>
        <w:rPr>
          <w:rFonts w:ascii="Tahoma" w:hAnsi="Tahoma" w:cs="Tahoma"/>
          <w:sz w:val="18"/>
          <w:szCs w:val="18"/>
          <w:lang w:val="en-GB"/>
        </w:rPr>
        <w:br/>
      </w:r>
      <w:r>
        <w:rPr>
          <w:rStyle w:val="hs51"/>
          <w:rFonts w:ascii="Tahoma" w:hAnsi="Tahoma" w:cs="Tahoma"/>
          <w:lang w:val="en-GB"/>
        </w:rPr>
        <w:t>Manager Corporate Communications &amp; Investor Relations</w:t>
      </w:r>
      <w:r>
        <w:rPr>
          <w:rFonts w:ascii="Tahoma" w:hAnsi="Tahoma" w:cs="Tahoma"/>
          <w:sz w:val="18"/>
          <w:szCs w:val="18"/>
          <w:lang w:val="en-GB"/>
        </w:rPr>
        <w:br/>
      </w:r>
      <w:r>
        <w:rPr>
          <w:rStyle w:val="hs51"/>
          <w:rFonts w:ascii="Tahoma" w:hAnsi="Tahoma" w:cs="Tahoma"/>
          <w:lang w:val="en-GB"/>
        </w:rPr>
        <w:t xml:space="preserve">e-mail   </w:t>
      </w:r>
      <w:hyperlink r:id="rId9" w:tgtFrame="_blank" w:history="1">
        <w:r>
          <w:rPr>
            <w:rStyle w:val="Hyperlink"/>
            <w:rFonts w:ascii="Tahoma" w:hAnsi="Tahoma" w:cs="Tahoma"/>
            <w:sz w:val="18"/>
            <w:szCs w:val="18"/>
            <w:u w:val="single"/>
            <w:lang w:val="en-GB"/>
          </w:rPr>
          <w:t>rdegrave@biocartis.com</w:t>
        </w:r>
      </w:hyperlink>
      <w:r>
        <w:rPr>
          <w:rFonts w:ascii="Tahoma" w:hAnsi="Tahoma" w:cs="Tahoma"/>
          <w:color w:val="0563C1"/>
          <w:sz w:val="18"/>
          <w:szCs w:val="18"/>
          <w:lang w:val="en-GB"/>
        </w:rPr>
        <w:br/>
      </w:r>
      <w:proofErr w:type="spellStart"/>
      <w:r>
        <w:rPr>
          <w:rStyle w:val="hs51"/>
          <w:rFonts w:ascii="Tahoma" w:hAnsi="Tahoma" w:cs="Tahoma"/>
          <w:lang w:val="en-GB"/>
        </w:rPr>
        <w:t>tel</w:t>
      </w:r>
      <w:proofErr w:type="spellEnd"/>
      <w:r>
        <w:rPr>
          <w:rStyle w:val="hs51"/>
          <w:rFonts w:ascii="Tahoma" w:hAnsi="Tahoma" w:cs="Tahoma"/>
          <w:lang w:val="en-GB"/>
        </w:rPr>
        <w:t xml:space="preserve">         +32 15 631 729 </w:t>
      </w:r>
      <w:r>
        <w:rPr>
          <w:rFonts w:ascii="Tahoma" w:hAnsi="Tahoma" w:cs="Tahoma"/>
          <w:sz w:val="18"/>
          <w:szCs w:val="18"/>
          <w:lang w:val="en-GB"/>
        </w:rPr>
        <w:br/>
      </w:r>
      <w:r>
        <w:rPr>
          <w:rStyle w:val="hs51"/>
          <w:rFonts w:ascii="Tahoma" w:hAnsi="Tahoma" w:cs="Tahoma"/>
          <w:lang w:val="en-GB"/>
        </w:rPr>
        <w:t>gsm      +32 471 53 60 64</w:t>
      </w:r>
    </w:p>
    <w:p w14:paraId="47647221" w14:textId="77777777" w:rsidR="003F7ECD" w:rsidRDefault="003F7ECD" w:rsidP="003F7ECD">
      <w:pPr>
        <w:pStyle w:val="hs9"/>
        <w:rPr>
          <w:rFonts w:ascii="Arial" w:hAnsi="Arial" w:cs="Arial"/>
        </w:rPr>
      </w:pPr>
      <w:r>
        <w:rPr>
          <w:rFonts w:ascii="Arial" w:hAnsi="Arial" w:cs="Arial"/>
        </w:rPr>
        <w:t> </w:t>
      </w:r>
    </w:p>
    <w:p w14:paraId="737B4363" w14:textId="77777777" w:rsidR="003F7ECD" w:rsidRDefault="003F7ECD" w:rsidP="003F7ECD">
      <w:pPr>
        <w:pStyle w:val="hs11"/>
        <w:rPr>
          <w:rFonts w:ascii="Arial" w:hAnsi="Arial" w:cs="Arial"/>
        </w:rPr>
      </w:pPr>
      <w:r>
        <w:rPr>
          <w:rStyle w:val="hs51"/>
          <w:rFonts w:ascii="Tahoma" w:hAnsi="Tahoma" w:cs="Tahoma"/>
          <w:b/>
          <w:bCs/>
        </w:rPr>
        <w:t xml:space="preserve">Over </w:t>
      </w:r>
      <w:proofErr w:type="spellStart"/>
      <w:r>
        <w:rPr>
          <w:rStyle w:val="hs51"/>
          <w:rFonts w:ascii="Tahoma" w:hAnsi="Tahoma" w:cs="Tahoma"/>
          <w:b/>
          <w:bCs/>
        </w:rPr>
        <w:t>Biocartis</w:t>
      </w:r>
      <w:proofErr w:type="spellEnd"/>
      <w:r>
        <w:rPr>
          <w:rStyle w:val="hs51"/>
          <w:rFonts w:ascii="Tahoma" w:hAnsi="Tahoma" w:cs="Tahoma"/>
          <w:b/>
          <w:bCs/>
        </w:rPr>
        <w:t> </w:t>
      </w:r>
    </w:p>
    <w:p w14:paraId="5AD52047" w14:textId="77777777" w:rsidR="003F7ECD" w:rsidRDefault="003F7ECD" w:rsidP="003F7ECD">
      <w:pPr>
        <w:pStyle w:val="hs1"/>
        <w:rPr>
          <w:rFonts w:ascii="Arial" w:hAnsi="Arial" w:cs="Arial"/>
        </w:rPr>
      </w:pPr>
      <w:r>
        <w:rPr>
          <w:rFonts w:ascii="Arial" w:hAnsi="Arial" w:cs="Arial"/>
        </w:rPr>
        <w:t> </w:t>
      </w:r>
    </w:p>
    <w:p w14:paraId="3D44329D" w14:textId="77777777" w:rsidR="003F7ECD" w:rsidRDefault="003F7ECD" w:rsidP="003F7ECD">
      <w:pPr>
        <w:pStyle w:val="hs9"/>
        <w:rPr>
          <w:rFonts w:ascii="Arial" w:hAnsi="Arial" w:cs="Arial"/>
        </w:rPr>
      </w:pPr>
      <w:proofErr w:type="spellStart"/>
      <w:r>
        <w:rPr>
          <w:rStyle w:val="hs51"/>
          <w:rFonts w:ascii="Tahoma" w:hAnsi="Tahoma" w:cs="Tahoma"/>
        </w:rPr>
        <w:t>Biocartis</w:t>
      </w:r>
      <w:proofErr w:type="spellEnd"/>
      <w:r>
        <w:rPr>
          <w:rStyle w:val="hs51"/>
          <w:rFonts w:ascii="Tahoma" w:hAnsi="Tahoma" w:cs="Tahoma"/>
        </w:rPr>
        <w:t xml:space="preserve"> (Euronext Brussels: B</w:t>
      </w:r>
      <w:r>
        <w:rPr>
          <w:rStyle w:val="hs51"/>
          <w:rFonts w:ascii="Tahoma" w:hAnsi="Tahoma" w:cs="Tahoma"/>
          <w:lang w:val="nl-NL"/>
        </w:rPr>
        <w:t>CART) is een innovatief bedrijf in de moleculaire diagnostiek (</w:t>
      </w:r>
      <w:proofErr w:type="spellStart"/>
      <w:r>
        <w:rPr>
          <w:rStyle w:val="hs51"/>
          <w:rFonts w:ascii="Tahoma" w:hAnsi="Tahoma" w:cs="Tahoma"/>
          <w:lang w:val="nl-NL"/>
        </w:rPr>
        <w:t>MDx</w:t>
      </w:r>
      <w:proofErr w:type="spellEnd"/>
      <w:r>
        <w:rPr>
          <w:rStyle w:val="hs51"/>
          <w:rFonts w:ascii="Tahoma" w:hAnsi="Tahoma" w:cs="Tahoma"/>
          <w:lang w:val="nl-NL"/>
        </w:rPr>
        <w:t xml:space="preserve">), dat diagnostische oplossingen van de nieuwste generatie aanbiedt om de klinische praktijk te verbeteren ten voordele van de patiënt, clinici, kostendragers en de sector. Het </w:t>
      </w:r>
      <w:proofErr w:type="spellStart"/>
      <w:r>
        <w:rPr>
          <w:rStyle w:val="hs51"/>
          <w:rFonts w:ascii="Tahoma" w:hAnsi="Tahoma" w:cs="Tahoma"/>
          <w:lang w:val="nl-NL"/>
        </w:rPr>
        <w:t>Idylla</w:t>
      </w:r>
      <w:proofErr w:type="spellEnd"/>
      <w:r>
        <w:rPr>
          <w:rStyle w:val="hs51"/>
          <w:rFonts w:ascii="Tahoma" w:hAnsi="Tahoma" w:cs="Tahoma"/>
          <w:lang w:val="nl-NL"/>
        </w:rPr>
        <w:t xml:space="preserve">(TM) </w:t>
      </w:r>
      <w:proofErr w:type="spellStart"/>
      <w:r>
        <w:rPr>
          <w:rStyle w:val="hs51"/>
          <w:rFonts w:ascii="Tahoma" w:hAnsi="Tahoma" w:cs="Tahoma"/>
          <w:lang w:val="nl-NL"/>
        </w:rPr>
        <w:t>MDx</w:t>
      </w:r>
      <w:proofErr w:type="spellEnd"/>
      <w:r>
        <w:rPr>
          <w:rStyle w:val="hs51"/>
          <w:rFonts w:ascii="Tahoma" w:hAnsi="Tahoma" w:cs="Tahoma"/>
          <w:lang w:val="nl-NL"/>
        </w:rPr>
        <w:t xml:space="preserve"> systeem van </w:t>
      </w:r>
      <w:proofErr w:type="spellStart"/>
      <w:r>
        <w:rPr>
          <w:rStyle w:val="hs51"/>
          <w:rFonts w:ascii="Tahoma" w:hAnsi="Tahoma" w:cs="Tahoma"/>
          <w:lang w:val="nl-NL"/>
        </w:rPr>
        <w:t>Biocartis</w:t>
      </w:r>
      <w:proofErr w:type="spellEnd"/>
      <w:r>
        <w:rPr>
          <w:rStyle w:val="hs51"/>
          <w:rFonts w:ascii="Tahoma" w:hAnsi="Tahoma" w:cs="Tahoma"/>
          <w:lang w:val="nl-NL"/>
        </w:rPr>
        <w:t xml:space="preserve"> is een volledig geautomatiseerd, staal-tot-resultaat real-time PCR-systeem (Polymerase Chain </w:t>
      </w:r>
      <w:proofErr w:type="spellStart"/>
      <w:r>
        <w:rPr>
          <w:rStyle w:val="hs51"/>
          <w:rFonts w:ascii="Tahoma" w:hAnsi="Tahoma" w:cs="Tahoma"/>
          <w:lang w:val="nl-NL"/>
        </w:rPr>
        <w:t>Reaction</w:t>
      </w:r>
      <w:proofErr w:type="spellEnd"/>
      <w:r>
        <w:rPr>
          <w:rStyle w:val="hs51"/>
          <w:rFonts w:ascii="Tahoma" w:hAnsi="Tahoma" w:cs="Tahoma"/>
          <w:lang w:val="nl-NL"/>
        </w:rPr>
        <w:t xml:space="preserve"> ofwel Polymerasekettingreactie) dat accurate, zeer betrouwbare moleculaire informatie verstrekt op basis van nagenoeg elk biologisch staal, in nagenoeg elke omgeving. </w:t>
      </w:r>
      <w:proofErr w:type="spellStart"/>
      <w:r>
        <w:rPr>
          <w:rStyle w:val="hs51"/>
          <w:rFonts w:ascii="Tahoma" w:hAnsi="Tahoma" w:cs="Tahoma"/>
          <w:lang w:val="nl-NL"/>
        </w:rPr>
        <w:t>Biocartis</w:t>
      </w:r>
      <w:proofErr w:type="spellEnd"/>
      <w:r>
        <w:rPr>
          <w:rStyle w:val="hs51"/>
          <w:rFonts w:ascii="Tahoma" w:hAnsi="Tahoma" w:cs="Tahoma"/>
          <w:lang w:val="nl-NL"/>
        </w:rPr>
        <w:t xml:space="preserve"> ontwikkelt en commercialiseert een snel uitbreidend testmenu dat belangrijke onvoldane klinische behoeften in oncologie beantwoordt. Dit domein is het snelst groeiende segment van de wereldwijde </w:t>
      </w:r>
      <w:proofErr w:type="spellStart"/>
      <w:r>
        <w:rPr>
          <w:rStyle w:val="hs51"/>
          <w:rFonts w:ascii="Tahoma" w:hAnsi="Tahoma" w:cs="Tahoma"/>
          <w:lang w:val="nl-NL"/>
        </w:rPr>
        <w:t>MDx</w:t>
      </w:r>
      <w:proofErr w:type="spellEnd"/>
      <w:r>
        <w:rPr>
          <w:rStyle w:val="hs51"/>
          <w:rFonts w:ascii="Tahoma" w:hAnsi="Tahoma" w:cs="Tahoma"/>
          <w:lang w:val="nl-NL"/>
        </w:rPr>
        <w:t xml:space="preserve">-markt. Vandaag biedt </w:t>
      </w:r>
      <w:proofErr w:type="spellStart"/>
      <w:r>
        <w:rPr>
          <w:rStyle w:val="hs51"/>
          <w:rFonts w:ascii="Tahoma" w:hAnsi="Tahoma" w:cs="Tahoma"/>
          <w:lang w:val="nl-NL"/>
        </w:rPr>
        <w:t>Biocartis</w:t>
      </w:r>
      <w:proofErr w:type="spellEnd"/>
      <w:r>
        <w:rPr>
          <w:rStyle w:val="hs51"/>
          <w:rFonts w:ascii="Tahoma" w:hAnsi="Tahoma" w:cs="Tahoma"/>
          <w:lang w:val="nl-NL"/>
        </w:rPr>
        <w:t xml:space="preserve"> tests aan in het domein van melanoom, darm- en longkanker. Meer informatie op </w:t>
      </w:r>
      <w:hyperlink r:id="rId10" w:tgtFrame="_blank" w:history="1">
        <w:r>
          <w:rPr>
            <w:rStyle w:val="Hyperlink"/>
            <w:rFonts w:ascii="Tahoma" w:hAnsi="Tahoma" w:cs="Tahoma"/>
            <w:sz w:val="18"/>
            <w:szCs w:val="18"/>
            <w:u w:val="single"/>
            <w:lang w:val="en-GB"/>
          </w:rPr>
          <w:t>www.biocartis.com</w:t>
        </w:r>
      </w:hyperlink>
      <w:r>
        <w:rPr>
          <w:rStyle w:val="hs51"/>
          <w:rFonts w:ascii="Tahoma" w:hAnsi="Tahoma" w:cs="Tahoma"/>
          <w:color w:val="0563C1"/>
          <w:u w:val="single"/>
        </w:rPr>
        <w:t>.</w:t>
      </w:r>
      <w:r>
        <w:rPr>
          <w:rStyle w:val="hs51"/>
          <w:rFonts w:ascii="Tahoma" w:hAnsi="Tahoma" w:cs="Tahoma"/>
        </w:rPr>
        <w:t xml:space="preserve"> Persfoto's vindt  u </w:t>
      </w:r>
      <w:hyperlink r:id="rId11" w:tgtFrame="_blank" w:history="1">
        <w:proofErr w:type="spellStart"/>
        <w:r>
          <w:rPr>
            <w:rStyle w:val="Hyperlink"/>
            <w:rFonts w:ascii="Tahoma" w:hAnsi="Tahoma" w:cs="Tahoma"/>
            <w:sz w:val="18"/>
            <w:szCs w:val="18"/>
            <w:u w:val="single"/>
            <w:lang w:val="en-GB"/>
          </w:rPr>
          <w:t>hier</w:t>
        </w:r>
        <w:proofErr w:type="spellEnd"/>
      </w:hyperlink>
      <w:r>
        <w:rPr>
          <w:rStyle w:val="hs51"/>
          <w:rFonts w:ascii="Tahoma" w:hAnsi="Tahoma" w:cs="Tahoma"/>
        </w:rPr>
        <w:t xml:space="preserve">. Volg ons op </w:t>
      </w:r>
      <w:hyperlink r:id="rId12" w:tgtFrame="_blank" w:history="1">
        <w:r>
          <w:rPr>
            <w:rStyle w:val="Hyperlink"/>
            <w:rFonts w:ascii="Tahoma" w:hAnsi="Tahoma" w:cs="Tahoma"/>
            <w:sz w:val="18"/>
            <w:szCs w:val="18"/>
            <w:u w:val="single"/>
            <w:lang w:val="en-GB"/>
          </w:rPr>
          <w:t>Twitter</w:t>
        </w:r>
      </w:hyperlink>
      <w:r>
        <w:rPr>
          <w:rStyle w:val="hs51"/>
          <w:rFonts w:ascii="Tahoma" w:hAnsi="Tahoma" w:cs="Tahoma"/>
        </w:rPr>
        <w:t>: @</w:t>
      </w:r>
      <w:proofErr w:type="spellStart"/>
      <w:r>
        <w:rPr>
          <w:rStyle w:val="hs51"/>
          <w:rFonts w:ascii="Tahoma" w:hAnsi="Tahoma" w:cs="Tahoma"/>
        </w:rPr>
        <w:t>Biocartis</w:t>
      </w:r>
      <w:proofErr w:type="spellEnd"/>
      <w:r>
        <w:rPr>
          <w:rStyle w:val="hs51"/>
          <w:rFonts w:ascii="Tahoma" w:hAnsi="Tahoma" w:cs="Tahoma"/>
        </w:rPr>
        <w:t>_.</w:t>
      </w:r>
    </w:p>
    <w:p w14:paraId="7C567D4F" w14:textId="77777777" w:rsidR="00E2435D" w:rsidRDefault="00E2435D"/>
    <w:sectPr w:rsidR="00E24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B01"/>
    <w:multiLevelType w:val="multilevel"/>
    <w:tmpl w:val="13ECB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revisionView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CD"/>
    <w:rsid w:val="003F7ECD"/>
    <w:rsid w:val="00E243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F481"/>
  <w15:chartTrackingRefBased/>
  <w15:docId w15:val="{8BCED568-62A8-411A-BF15-DD2E6FEF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7ECD"/>
    <w:pPr>
      <w:spacing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F7ECD"/>
    <w:rPr>
      <w:color w:val="0563C1"/>
    </w:rPr>
  </w:style>
  <w:style w:type="paragraph" w:styleId="Normaalweb">
    <w:name w:val="Normal (Web)"/>
    <w:basedOn w:val="Standaard"/>
    <w:uiPriority w:val="99"/>
    <w:semiHidden/>
    <w:unhideWhenUsed/>
    <w:rsid w:val="003F7ECD"/>
    <w:pPr>
      <w:spacing w:before="100" w:beforeAutospacing="1" w:after="100" w:afterAutospacing="1"/>
    </w:pPr>
  </w:style>
  <w:style w:type="paragraph" w:customStyle="1" w:styleId="hs7">
    <w:name w:val="hs7"/>
    <w:basedOn w:val="Standaard"/>
    <w:uiPriority w:val="99"/>
    <w:semiHidden/>
    <w:rsid w:val="003F7ECD"/>
    <w:pPr>
      <w:spacing w:after="0"/>
      <w:jc w:val="both"/>
    </w:pPr>
    <w:rPr>
      <w:sz w:val="18"/>
      <w:szCs w:val="18"/>
    </w:rPr>
  </w:style>
  <w:style w:type="paragraph" w:customStyle="1" w:styleId="hs8">
    <w:name w:val="hs8"/>
    <w:basedOn w:val="Standaard"/>
    <w:uiPriority w:val="99"/>
    <w:semiHidden/>
    <w:rsid w:val="003F7ECD"/>
    <w:pPr>
      <w:jc w:val="both"/>
    </w:pPr>
  </w:style>
  <w:style w:type="paragraph" w:customStyle="1" w:styleId="hs9">
    <w:name w:val="hs9"/>
    <w:basedOn w:val="Standaard"/>
    <w:uiPriority w:val="99"/>
    <w:semiHidden/>
    <w:rsid w:val="003F7ECD"/>
    <w:pPr>
      <w:autoSpaceDE w:val="0"/>
      <w:autoSpaceDN w:val="0"/>
      <w:jc w:val="both"/>
    </w:pPr>
  </w:style>
  <w:style w:type="paragraph" w:customStyle="1" w:styleId="hs10">
    <w:name w:val="hs10"/>
    <w:basedOn w:val="Standaard"/>
    <w:uiPriority w:val="99"/>
    <w:semiHidden/>
    <w:rsid w:val="003F7ECD"/>
    <w:pPr>
      <w:jc w:val="center"/>
    </w:pPr>
  </w:style>
  <w:style w:type="paragraph" w:customStyle="1" w:styleId="hs11">
    <w:name w:val="hs11"/>
    <w:basedOn w:val="Standaard"/>
    <w:uiPriority w:val="99"/>
    <w:semiHidden/>
    <w:rsid w:val="003F7ECD"/>
  </w:style>
  <w:style w:type="paragraph" w:customStyle="1" w:styleId="hs12">
    <w:name w:val="hs12"/>
    <w:basedOn w:val="Standaard"/>
    <w:uiPriority w:val="99"/>
    <w:semiHidden/>
    <w:rsid w:val="003F7ECD"/>
    <w:pPr>
      <w:autoSpaceDE w:val="0"/>
      <w:autoSpaceDN w:val="0"/>
      <w:jc w:val="center"/>
    </w:pPr>
  </w:style>
  <w:style w:type="paragraph" w:customStyle="1" w:styleId="hs1">
    <w:name w:val="hs1"/>
    <w:basedOn w:val="Standaard"/>
    <w:uiPriority w:val="99"/>
    <w:semiHidden/>
    <w:rsid w:val="003F7ECD"/>
    <w:pPr>
      <w:spacing w:before="100" w:beforeAutospacing="1" w:after="100" w:afterAutospacing="1"/>
    </w:pPr>
    <w:rPr>
      <w:sz w:val="20"/>
      <w:szCs w:val="20"/>
    </w:rPr>
  </w:style>
  <w:style w:type="paragraph" w:customStyle="1" w:styleId="hs2">
    <w:name w:val="hs2"/>
    <w:basedOn w:val="Standaard"/>
    <w:uiPriority w:val="99"/>
    <w:semiHidden/>
    <w:rsid w:val="003F7ECD"/>
    <w:pPr>
      <w:spacing w:before="100" w:beforeAutospacing="1" w:after="100" w:afterAutospacing="1"/>
    </w:pPr>
  </w:style>
  <w:style w:type="paragraph" w:customStyle="1" w:styleId="hs5">
    <w:name w:val="hs5"/>
    <w:basedOn w:val="Standaard"/>
    <w:uiPriority w:val="99"/>
    <w:semiHidden/>
    <w:rsid w:val="003F7ECD"/>
    <w:pPr>
      <w:spacing w:before="100" w:beforeAutospacing="1" w:after="100" w:afterAutospacing="1"/>
    </w:pPr>
    <w:rPr>
      <w:sz w:val="18"/>
      <w:szCs w:val="18"/>
    </w:rPr>
  </w:style>
  <w:style w:type="character" w:customStyle="1" w:styleId="hs31">
    <w:name w:val="hs31"/>
    <w:basedOn w:val="Standaardalinea-lettertype"/>
    <w:rsid w:val="003F7ECD"/>
    <w:rPr>
      <w:sz w:val="24"/>
      <w:szCs w:val="24"/>
    </w:rPr>
  </w:style>
  <w:style w:type="character" w:customStyle="1" w:styleId="hugindetectedhighlightederror">
    <w:name w:val="hugin_detected_highlighted_error"/>
    <w:basedOn w:val="Standaardalinea-lettertype"/>
    <w:rsid w:val="003F7ECD"/>
  </w:style>
  <w:style w:type="character" w:customStyle="1" w:styleId="hs51">
    <w:name w:val="hs51"/>
    <w:basedOn w:val="Standaardalinea-lettertype"/>
    <w:rsid w:val="003F7E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8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ors.biocartis.com/nl/aandelen-prij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vestors.biocartis.com/nl/aandelen-prijs" TargetMode="External"/><Relationship Id="rId12" Type="http://schemas.openxmlformats.org/officeDocument/2006/relationships/hyperlink" Target="https://twitter.com/biocartis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vestors.biocartis.com/en/press-image-library" TargetMode="External"/><Relationship Id="rId5" Type="http://schemas.openxmlformats.org/officeDocument/2006/relationships/hyperlink" Target="https://biocartis.com/" TargetMode="External"/><Relationship Id="rId10" Type="http://schemas.openxmlformats.org/officeDocument/2006/relationships/hyperlink" Target="http://www.biocartis.com/" TargetMode="External"/><Relationship Id="rId4" Type="http://schemas.openxmlformats.org/officeDocument/2006/relationships/webSettings" Target="webSettings.xml"/><Relationship Id="rId9" Type="http://schemas.openxmlformats.org/officeDocument/2006/relationships/hyperlink" Target="mailto:rdegrave@biocartis.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Reyns</dc:creator>
  <cp:keywords/>
  <dc:description/>
  <cp:lastModifiedBy>Jan Reyns</cp:lastModifiedBy>
  <cp:revision>1</cp:revision>
  <dcterms:created xsi:type="dcterms:W3CDTF">2019-01-28T07:31:00Z</dcterms:created>
  <dcterms:modified xsi:type="dcterms:W3CDTF">2019-01-28T07:32:00Z</dcterms:modified>
</cp:coreProperties>
</file>