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3029"/>
        <w:gridCol w:w="3104"/>
        <w:gridCol w:w="3029"/>
      </w:tblGrid>
      <w:tr w:rsidR="004D6301" w:rsidTr="004D6301">
        <w:trPr>
          <w:tblCellSpacing w:w="15" w:type="dxa"/>
        </w:trPr>
        <w:tc>
          <w:tcPr>
            <w:tcW w:w="1650" w:type="pct"/>
            <w:tcMar>
              <w:top w:w="15" w:type="dxa"/>
              <w:left w:w="15" w:type="dxa"/>
              <w:bottom w:w="15" w:type="dxa"/>
              <w:right w:w="15" w:type="dxa"/>
            </w:tcMar>
            <w:vAlign w:val="center"/>
            <w:hideMark/>
          </w:tcPr>
          <w:p w:rsidR="004D6301" w:rsidRDefault="004D6301">
            <w:pPr>
              <w:rPr>
                <w:rFonts w:eastAsia="Times New Roman"/>
              </w:rPr>
            </w:pPr>
            <w:r>
              <w:rPr>
                <w:rFonts w:eastAsia="Times New Roman"/>
                <w:noProof/>
                <w:color w:val="0000FF"/>
              </w:rPr>
              <w:drawing>
                <wp:inline distT="0" distB="0" distL="0" distR="0">
                  <wp:extent cx="1187450" cy="1187450"/>
                  <wp:effectExtent l="0" t="0" r="0" b="0"/>
                  <wp:docPr id="5" name="Afbeelding 5" descr="http://hugin.info/133948/B/5283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gin.info/133948/B/5283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c>
        <w:tc>
          <w:tcPr>
            <w:tcW w:w="1700" w:type="pct"/>
            <w:tcMar>
              <w:top w:w="15" w:type="dxa"/>
              <w:left w:w="15" w:type="dxa"/>
              <w:bottom w:w="15" w:type="dxa"/>
              <w:right w:w="15" w:type="dxa"/>
            </w:tcMar>
            <w:vAlign w:val="center"/>
            <w:hideMark/>
          </w:tcPr>
          <w:p w:rsidR="004D6301" w:rsidRDefault="004D6301">
            <w:pPr>
              <w:rPr>
                <w:rFonts w:eastAsia="Times New Roman"/>
              </w:rPr>
            </w:pPr>
            <w:r>
              <w:rPr>
                <w:rFonts w:eastAsia="Times New Roman"/>
              </w:rPr>
              <w:t xml:space="preserve">  </w:t>
            </w:r>
          </w:p>
        </w:tc>
        <w:tc>
          <w:tcPr>
            <w:tcW w:w="1650" w:type="pct"/>
            <w:tcMar>
              <w:top w:w="15" w:type="dxa"/>
              <w:left w:w="15" w:type="dxa"/>
              <w:bottom w:w="15" w:type="dxa"/>
              <w:right w:w="15" w:type="dxa"/>
            </w:tcMar>
            <w:vAlign w:val="center"/>
            <w:hideMark/>
          </w:tcPr>
          <w:p w:rsidR="004D6301" w:rsidRDefault="004D6301">
            <w:pPr>
              <w:jc w:val="right"/>
              <w:rPr>
                <w:rFonts w:eastAsia="Times New Roman"/>
              </w:rPr>
            </w:pPr>
            <w:r>
              <w:rPr>
                <w:rFonts w:eastAsia="Times New Roman"/>
              </w:rPr>
              <w:t xml:space="preserve">  </w:t>
            </w:r>
          </w:p>
        </w:tc>
      </w:tr>
    </w:tbl>
    <w:p w:rsidR="004D6301" w:rsidRDefault="004D6301" w:rsidP="004D6301">
      <w:pPr>
        <w:rPr>
          <w:rFonts w:eastAsia="Times New Roman"/>
        </w:rPr>
      </w:pPr>
    </w:p>
    <w:p w:rsidR="004D6301" w:rsidRDefault="004D6301" w:rsidP="004D6301">
      <w:pPr>
        <w:rPr>
          <w:rFonts w:ascii="Arial" w:eastAsia="Times New Roman" w:hAnsi="Arial" w:cs="Arial"/>
        </w:rPr>
      </w:pPr>
      <w:bookmarkStart w:id="0" w:name="_GoBack"/>
      <w:r>
        <w:rPr>
          <w:rFonts w:ascii="Arial" w:eastAsia="Times New Roman" w:hAnsi="Arial" w:cs="Arial"/>
          <w:b/>
          <w:bCs/>
        </w:rPr>
        <w:t xml:space="preserve">Update met betrekking tot het inkoopprogramma eigen aandelen </w:t>
      </w:r>
      <w:bookmarkEnd w:id="0"/>
      <w:r>
        <w:rPr>
          <w:rFonts w:ascii="Arial" w:eastAsia="Times New Roman" w:hAnsi="Arial" w:cs="Arial"/>
          <w:b/>
          <w:bCs/>
        </w:rPr>
        <w:t>(18/11/2013)</w:t>
      </w:r>
      <w:r>
        <w:rPr>
          <w:rFonts w:ascii="Arial" w:eastAsia="Times New Roman" w:hAnsi="Arial" w:cs="Arial"/>
        </w:rPr>
        <w:t xml:space="preserve"> </w:t>
      </w:r>
    </w:p>
    <w:p w:rsidR="004D6301" w:rsidRDefault="004D6301" w:rsidP="004D6301">
      <w:pPr>
        <w:rPr>
          <w:rFonts w:eastAsia="Times New Roman"/>
        </w:rPr>
      </w:pP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Gereglementeerd bericht</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 </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In uitvoering van de regelgeving met betrekking tot de inkoop eigen aandelen, meldt Kinepolis Group NV dat in het kader van het inkoopprogramma eigen aandelen zoals bekendgemaakt per 24 mei 2013, de volgende verrichtingen zijn uitgevoerd in de periode van 11 november 2013 tot en met 15 november 2013 op de gereglementeerde markt NYSE Euronext Brussel en dit in overeenstemming met het mandaat gegeven door de Buitengewone Algemene Vergadering van 19 oktober 2012:</w:t>
      </w:r>
    </w:p>
    <w:p w:rsidR="004D6301" w:rsidRDefault="004D6301" w:rsidP="004D6301">
      <w:pPr>
        <w:rPr>
          <w:rFonts w:ascii="Arial" w:eastAsia="Times New Roman" w:hAnsi="Arial" w:cs="Arial"/>
          <w:sz w:val="20"/>
          <w:szCs w:val="20"/>
        </w:rPr>
      </w:pPr>
    </w:p>
    <w:tbl>
      <w:tblPr>
        <w:tblW w:w="9285" w:type="dxa"/>
        <w:tblInd w:w="57" w:type="dxa"/>
        <w:tblCellMar>
          <w:left w:w="0" w:type="dxa"/>
          <w:right w:w="0" w:type="dxa"/>
        </w:tblCellMar>
        <w:tblLook w:val="04A0" w:firstRow="1" w:lastRow="0" w:firstColumn="1" w:lastColumn="0" w:noHBand="0" w:noVBand="1"/>
      </w:tblPr>
      <w:tblGrid>
        <w:gridCol w:w="1795"/>
        <w:gridCol w:w="1256"/>
        <w:gridCol w:w="1416"/>
        <w:gridCol w:w="1700"/>
        <w:gridCol w:w="1559"/>
        <w:gridCol w:w="1559"/>
      </w:tblGrid>
      <w:tr w:rsidR="004D6301" w:rsidTr="004D6301">
        <w:trPr>
          <w:trHeight w:val="517"/>
        </w:trPr>
        <w:tc>
          <w:tcPr>
            <w:tcW w:w="179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4D6301" w:rsidRDefault="004D6301">
            <w:pPr>
              <w:pStyle w:val="hs26"/>
              <w:spacing w:before="0" w:beforeAutospacing="0" w:after="0" w:afterAutospacing="0"/>
              <w:ind w:left="30" w:right="45"/>
              <w:rPr>
                <w:rFonts w:ascii="Arial" w:hAnsi="Arial" w:cs="Arial"/>
              </w:rPr>
            </w:pPr>
            <w:r>
              <w:rPr>
                <w:rStyle w:val="hs110"/>
                <w:rFonts w:ascii="Arial" w:hAnsi="Arial" w:cs="Arial"/>
                <w:b/>
                <w:bCs/>
              </w:rPr>
              <w:t>Datum</w:t>
            </w:r>
          </w:p>
        </w:tc>
        <w:tc>
          <w:tcPr>
            <w:tcW w:w="1257"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4D6301" w:rsidRDefault="004D6301">
            <w:pPr>
              <w:pStyle w:val="hs26"/>
              <w:spacing w:before="0" w:beforeAutospacing="0" w:after="0" w:afterAutospacing="0"/>
              <w:ind w:left="30" w:right="45"/>
              <w:rPr>
                <w:rFonts w:ascii="Arial" w:hAnsi="Arial" w:cs="Arial"/>
              </w:rPr>
            </w:pPr>
            <w:proofErr w:type="spellStart"/>
            <w:r>
              <w:rPr>
                <w:rStyle w:val="hs110"/>
                <w:rFonts w:ascii="Arial" w:hAnsi="Arial" w:cs="Arial"/>
                <w:b/>
                <w:bCs/>
              </w:rPr>
              <w:t>Aant</w:t>
            </w:r>
            <w:proofErr w:type="spellEnd"/>
            <w:r>
              <w:rPr>
                <w:rStyle w:val="hs110"/>
                <w:rFonts w:ascii="Arial" w:hAnsi="Arial" w:cs="Arial"/>
                <w:b/>
                <w:bCs/>
              </w:rPr>
              <w:t xml:space="preserve">. </w:t>
            </w:r>
            <w:proofErr w:type="spellStart"/>
            <w:r>
              <w:rPr>
                <w:rStyle w:val="hs110"/>
                <w:rFonts w:ascii="Arial" w:hAnsi="Arial" w:cs="Arial"/>
                <w:b/>
                <w:bCs/>
              </w:rPr>
              <w:t>adln</w:t>
            </w:r>
            <w:proofErr w:type="spellEnd"/>
          </w:p>
        </w:tc>
        <w:tc>
          <w:tcPr>
            <w:tcW w:w="1417"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4D6301" w:rsidRDefault="004D6301">
            <w:pPr>
              <w:pStyle w:val="hs26"/>
              <w:spacing w:before="0" w:beforeAutospacing="0" w:after="0" w:afterAutospacing="0"/>
              <w:ind w:left="30" w:right="45"/>
              <w:rPr>
                <w:rFonts w:ascii="Arial" w:hAnsi="Arial" w:cs="Arial"/>
              </w:rPr>
            </w:pPr>
            <w:r>
              <w:rPr>
                <w:rStyle w:val="hs110"/>
                <w:rFonts w:ascii="Arial" w:hAnsi="Arial" w:cs="Arial"/>
                <w:b/>
                <w:bCs/>
              </w:rPr>
              <w:t xml:space="preserve">Gem. </w:t>
            </w:r>
          </w:p>
          <w:p w:rsidR="004D6301" w:rsidRDefault="004D6301">
            <w:pPr>
              <w:pStyle w:val="hs26"/>
              <w:spacing w:before="0" w:beforeAutospacing="0" w:after="0" w:afterAutospacing="0"/>
              <w:ind w:left="30" w:right="45"/>
              <w:rPr>
                <w:rFonts w:ascii="Arial" w:hAnsi="Arial" w:cs="Arial"/>
              </w:rPr>
            </w:pPr>
            <w:r>
              <w:rPr>
                <w:rStyle w:val="hs110"/>
                <w:rFonts w:ascii="Arial" w:hAnsi="Arial" w:cs="Arial"/>
                <w:b/>
                <w:bCs/>
              </w:rPr>
              <w:t>prijs</w:t>
            </w:r>
          </w:p>
        </w:tc>
        <w:tc>
          <w:tcPr>
            <w:tcW w:w="1701"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4D6301" w:rsidRDefault="004D6301">
            <w:pPr>
              <w:pStyle w:val="hs26"/>
              <w:spacing w:before="0" w:beforeAutospacing="0" w:after="0" w:afterAutospacing="0"/>
              <w:ind w:left="30" w:right="45"/>
              <w:rPr>
                <w:rFonts w:ascii="Arial" w:hAnsi="Arial" w:cs="Arial"/>
              </w:rPr>
            </w:pPr>
            <w:r>
              <w:rPr>
                <w:rStyle w:val="hs110"/>
                <w:rFonts w:ascii="Arial" w:hAnsi="Arial" w:cs="Arial"/>
                <w:b/>
                <w:bCs/>
              </w:rPr>
              <w:t>Hoogste prijs</w:t>
            </w:r>
          </w:p>
        </w:tc>
        <w:tc>
          <w:tcPr>
            <w:tcW w:w="1560"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4D6301" w:rsidRDefault="004D6301">
            <w:pPr>
              <w:pStyle w:val="hs26"/>
              <w:spacing w:before="0" w:beforeAutospacing="0" w:after="0" w:afterAutospacing="0"/>
              <w:ind w:left="30" w:right="45"/>
              <w:rPr>
                <w:rFonts w:ascii="Arial" w:hAnsi="Arial" w:cs="Arial"/>
              </w:rPr>
            </w:pPr>
            <w:r>
              <w:rPr>
                <w:rStyle w:val="hs110"/>
                <w:rFonts w:ascii="Arial" w:hAnsi="Arial" w:cs="Arial"/>
                <w:b/>
                <w:bCs/>
              </w:rPr>
              <w:t>Laagste prijs</w:t>
            </w:r>
          </w:p>
        </w:tc>
        <w:tc>
          <w:tcPr>
            <w:tcW w:w="1559"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4D6301" w:rsidRDefault="004D6301">
            <w:pPr>
              <w:pStyle w:val="hs26"/>
              <w:spacing w:before="0" w:beforeAutospacing="0" w:after="0" w:afterAutospacing="0"/>
              <w:ind w:left="30" w:right="45"/>
              <w:rPr>
                <w:rFonts w:ascii="Arial" w:hAnsi="Arial" w:cs="Arial"/>
              </w:rPr>
            </w:pPr>
            <w:r>
              <w:rPr>
                <w:rStyle w:val="hs110"/>
                <w:rFonts w:ascii="Arial" w:hAnsi="Arial" w:cs="Arial"/>
                <w:b/>
                <w:bCs/>
              </w:rPr>
              <w:t>Totaal</w:t>
            </w:r>
          </w:p>
        </w:tc>
      </w:tr>
      <w:tr w:rsidR="004D6301" w:rsidTr="004D6301">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4D6301" w:rsidRDefault="004D6301">
            <w:pPr>
              <w:pStyle w:val="hs1"/>
              <w:rPr>
                <w:rFonts w:ascii="Arial" w:hAnsi="Arial" w:cs="Arial"/>
              </w:rPr>
            </w:pPr>
            <w:r>
              <w:rPr>
                <w:rStyle w:val="hs110"/>
                <w:rFonts w:ascii="Arial" w:hAnsi="Arial" w:cs="Arial"/>
              </w:rPr>
              <w:t>11/11/2013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119</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€ 106,19</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€ 106,20</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€ 106,07</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€ 12.636,76</w:t>
            </w:r>
          </w:p>
        </w:tc>
      </w:tr>
      <w:tr w:rsidR="004D6301" w:rsidTr="004D6301">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4D6301" w:rsidRDefault="004D6301">
            <w:pPr>
              <w:pStyle w:val="hs1"/>
              <w:rPr>
                <w:rFonts w:ascii="Arial" w:hAnsi="Arial" w:cs="Arial"/>
              </w:rPr>
            </w:pPr>
            <w:r>
              <w:rPr>
                <w:rStyle w:val="hs110"/>
                <w:rFonts w:ascii="Arial" w:hAnsi="Arial" w:cs="Arial"/>
              </w:rPr>
              <w:t>12/11/2013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250</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€ 106,98</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€ 107,00</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€ 106,55</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€ 26.746,10</w:t>
            </w:r>
          </w:p>
        </w:tc>
      </w:tr>
      <w:tr w:rsidR="004D6301" w:rsidTr="004D6301">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4D6301" w:rsidRDefault="004D6301">
            <w:pPr>
              <w:pStyle w:val="hs1"/>
              <w:rPr>
                <w:rFonts w:ascii="Arial" w:hAnsi="Arial" w:cs="Arial"/>
              </w:rPr>
            </w:pPr>
            <w:r>
              <w:rPr>
                <w:rStyle w:val="hs110"/>
                <w:rFonts w:ascii="Arial" w:hAnsi="Arial" w:cs="Arial"/>
              </w:rPr>
              <w:t>13/11/2013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195</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€ 107,10</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€ 107,20</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€ 106,80</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€ 20.884,75</w:t>
            </w:r>
          </w:p>
        </w:tc>
      </w:tr>
      <w:tr w:rsidR="004D6301" w:rsidTr="004D6301">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4D6301" w:rsidRDefault="004D6301">
            <w:pPr>
              <w:pStyle w:val="hs1"/>
              <w:rPr>
                <w:rFonts w:ascii="Arial" w:hAnsi="Arial" w:cs="Arial"/>
              </w:rPr>
            </w:pPr>
            <w:r>
              <w:rPr>
                <w:rStyle w:val="hs110"/>
                <w:rFonts w:ascii="Arial" w:hAnsi="Arial" w:cs="Arial"/>
              </w:rPr>
              <w:t>14/11/2013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250</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€ 108,99</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€ 109,00</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€ 108,96</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€ 27.246,80</w:t>
            </w:r>
          </w:p>
        </w:tc>
      </w:tr>
      <w:tr w:rsidR="004D6301" w:rsidTr="004D6301">
        <w:trPr>
          <w:trHeight w:val="284"/>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4D6301" w:rsidRDefault="004D6301">
            <w:pPr>
              <w:pStyle w:val="hs1"/>
              <w:rPr>
                <w:rFonts w:ascii="Arial" w:hAnsi="Arial" w:cs="Arial"/>
              </w:rPr>
            </w:pPr>
            <w:r>
              <w:rPr>
                <w:rStyle w:val="hs110"/>
                <w:rFonts w:ascii="Arial" w:hAnsi="Arial" w:cs="Arial"/>
              </w:rPr>
              <w:t>15/11/2013</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280</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€ 108,87</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€ 109,00</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€ 108,49</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rPr>
              <w:t>€ 30.482,65</w:t>
            </w:r>
          </w:p>
        </w:tc>
      </w:tr>
      <w:tr w:rsidR="004D6301" w:rsidTr="004D6301">
        <w:trPr>
          <w:trHeight w:val="226"/>
        </w:trPr>
        <w:tc>
          <w:tcPr>
            <w:tcW w:w="17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4D6301" w:rsidRDefault="004D6301">
            <w:pPr>
              <w:pStyle w:val="hs24"/>
              <w:spacing w:before="0" w:beforeAutospacing="0" w:after="0" w:afterAutospacing="0"/>
              <w:ind w:left="30" w:right="45"/>
              <w:rPr>
                <w:rFonts w:ascii="Arial" w:hAnsi="Arial" w:cs="Arial"/>
              </w:rPr>
            </w:pPr>
            <w:r>
              <w:rPr>
                <w:rStyle w:val="Zwaar"/>
                <w:rFonts w:ascii="Arial" w:hAnsi="Arial" w:cs="Arial"/>
              </w:rPr>
              <w:t>Totaal week</w:t>
            </w:r>
          </w:p>
        </w:tc>
        <w:tc>
          <w:tcPr>
            <w:tcW w:w="125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b/>
                <w:bCs/>
              </w:rPr>
              <w:t>1.094</w:t>
            </w:r>
          </w:p>
        </w:tc>
        <w:tc>
          <w:tcPr>
            <w:tcW w:w="1417"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rPr>
                <w:rFonts w:ascii="Arial" w:eastAsia="Times New Roman" w:hAnsi="Arial" w:cs="Arial"/>
                <w:sz w:val="20"/>
                <w:szCs w:val="20"/>
              </w:rPr>
            </w:pPr>
            <w:r>
              <w:rPr>
                <w:rFonts w:ascii="Arial" w:eastAsia="Times New Roman" w:hAnsi="Arial" w:cs="Arial"/>
                <w:sz w:val="20"/>
                <w:szCs w:val="20"/>
              </w:rPr>
              <w:t> </w:t>
            </w:r>
          </w:p>
        </w:tc>
        <w:tc>
          <w:tcPr>
            <w:tcW w:w="1701"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rPr>
                <w:rFonts w:ascii="Arial" w:eastAsia="Times New Roman" w:hAnsi="Arial" w:cs="Arial"/>
                <w:sz w:val="20"/>
                <w:szCs w:val="20"/>
              </w:rPr>
            </w:pPr>
            <w:r>
              <w:rPr>
                <w:rFonts w:ascii="Arial" w:eastAsia="Times New Roman" w:hAnsi="Arial" w:cs="Arial"/>
                <w:sz w:val="20"/>
                <w:szCs w:val="20"/>
              </w:rPr>
              <w:t> </w:t>
            </w:r>
          </w:p>
        </w:tc>
        <w:tc>
          <w:tcPr>
            <w:tcW w:w="1560"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rPr>
                <w:rFonts w:ascii="Arial" w:eastAsia="Times New Roman" w:hAnsi="Arial" w:cs="Arial"/>
                <w:sz w:val="20"/>
                <w:szCs w:val="20"/>
              </w:rPr>
            </w:pPr>
            <w:r>
              <w:rPr>
                <w:rFonts w:ascii="Arial" w:eastAsia="Times New Roman" w:hAnsi="Arial" w:cs="Arial"/>
                <w:sz w:val="20"/>
                <w:szCs w:val="20"/>
              </w:rPr>
              <w:t> </w:t>
            </w:r>
          </w:p>
        </w:tc>
        <w:tc>
          <w:tcPr>
            <w:tcW w:w="1559" w:type="dxa"/>
            <w:tcBorders>
              <w:top w:val="nil"/>
              <w:left w:val="nil"/>
              <w:bottom w:val="single" w:sz="8" w:space="0" w:color="808080"/>
              <w:right w:val="single" w:sz="8" w:space="0" w:color="808080"/>
            </w:tcBorders>
            <w:tcMar>
              <w:top w:w="0" w:type="dxa"/>
              <w:left w:w="108" w:type="dxa"/>
              <w:bottom w:w="0" w:type="dxa"/>
              <w:right w:w="108" w:type="dxa"/>
            </w:tcMar>
            <w:hideMark/>
          </w:tcPr>
          <w:p w:rsidR="004D6301" w:rsidRDefault="004D6301">
            <w:pPr>
              <w:pStyle w:val="hs25"/>
              <w:rPr>
                <w:rFonts w:ascii="Arial" w:hAnsi="Arial" w:cs="Arial"/>
              </w:rPr>
            </w:pPr>
            <w:r>
              <w:rPr>
                <w:rStyle w:val="hs110"/>
                <w:rFonts w:ascii="Arial" w:hAnsi="Arial" w:cs="Arial"/>
                <w:b/>
                <w:bCs/>
              </w:rPr>
              <w:t>€ 117.997,07</w:t>
            </w:r>
          </w:p>
        </w:tc>
      </w:tr>
    </w:tbl>
    <w:p w:rsidR="004D6301" w:rsidRDefault="004D6301" w:rsidP="004D6301">
      <w:pPr>
        <w:rPr>
          <w:rFonts w:ascii="Arial" w:eastAsia="Times New Roman" w:hAnsi="Arial" w:cs="Arial"/>
          <w:sz w:val="20"/>
          <w:szCs w:val="20"/>
        </w:rPr>
      </w:pP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Na voormelde transacties bedraagt het totaal aantal eigen aandelen 567.825 op 15 november 2013.</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 </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In het kader van dit programma (300.000), kunnen er nog 30.060 aandelen ingekocht worden.</w:t>
      </w:r>
      <w:r>
        <w:rPr>
          <w:rFonts w:ascii="Arial" w:eastAsia="Times New Roman" w:hAnsi="Arial" w:cs="Arial"/>
          <w:sz w:val="20"/>
          <w:szCs w:val="20"/>
        </w:rPr>
        <w:br/>
      </w:r>
      <w:r>
        <w:rPr>
          <w:rStyle w:val="hs110"/>
          <w:rFonts w:ascii="Trebuchet MS" w:eastAsia="Times New Roman" w:hAnsi="Trebuchet MS" w:cs="Arial"/>
        </w:rPr>
        <w:t> </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 xml:space="preserve">Betreffende informatie kan tevens teruggevonden worden op de website </w:t>
      </w:r>
      <w:hyperlink r:id="rId7" w:history="1">
        <w:r>
          <w:rPr>
            <w:rStyle w:val="Hyperlink"/>
            <w:rFonts w:ascii="Trebuchet MS" w:eastAsia="Times New Roman" w:hAnsi="Trebuchet MS" w:cs="Arial"/>
            <w:sz w:val="20"/>
            <w:szCs w:val="20"/>
          </w:rPr>
          <w:t>http://investors.kinepolis.com</w:t>
        </w:r>
      </w:hyperlink>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 </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KINEPOLIS GROUP NV</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Naamloze vennootschap die publiek beroep doet of gedaan heeft op het spaarwezen</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Eeuwfeestlaan 20, 1020 Brussel</w:t>
      </w:r>
    </w:p>
    <w:p w:rsidR="004D6301" w:rsidRDefault="004D6301" w:rsidP="004D6301">
      <w:pPr>
        <w:rPr>
          <w:rFonts w:ascii="Arial" w:eastAsia="Times New Roman" w:hAnsi="Arial" w:cs="Arial"/>
          <w:sz w:val="20"/>
          <w:szCs w:val="20"/>
        </w:rPr>
      </w:pPr>
      <w:r>
        <w:rPr>
          <w:rStyle w:val="hs110"/>
          <w:rFonts w:ascii="Trebuchet MS" w:eastAsia="Times New Roman" w:hAnsi="Trebuchet MS" w:cs="Arial"/>
        </w:rPr>
        <w:t>Ondernemingsnummer BTW BE  0415.928.179 RPR Brussel</w:t>
      </w:r>
    </w:p>
    <w:p w:rsidR="004D6301" w:rsidRDefault="004D6301" w:rsidP="004D6301">
      <w:pPr>
        <w:rPr>
          <w:rFonts w:eastAsia="Times New Roman"/>
        </w:rPr>
      </w:pPr>
    </w:p>
    <w:p w:rsidR="004D6301" w:rsidRDefault="004D6301" w:rsidP="004D6301">
      <w:pPr>
        <w:rPr>
          <w:rFonts w:eastAsia="Times New Roman"/>
        </w:rPr>
      </w:pPr>
    </w:p>
    <w:p w:rsidR="004D6301" w:rsidRDefault="004D6301" w:rsidP="004D6301">
      <w:pPr>
        <w:rPr>
          <w:rFonts w:eastAsia="Times New Roman"/>
        </w:rPr>
      </w:pPr>
      <w:r>
        <w:rPr>
          <w:rFonts w:eastAsia="Times New Roman"/>
        </w:rPr>
        <w:br/>
      </w:r>
      <w:r>
        <w:rPr>
          <w:rFonts w:eastAsia="Times New Roman"/>
          <w:noProof/>
          <w:color w:val="0000FF"/>
        </w:rPr>
        <w:drawing>
          <wp:inline distT="0" distB="0" distL="0" distR="0">
            <wp:extent cx="189865" cy="178435"/>
            <wp:effectExtent l="0" t="0" r="635" b="0"/>
            <wp:docPr id="4" name="Afbeelding 4" descr="http://www.huginonline.com/img/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ginonline.com/img/facebo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78435"/>
                    </a:xfrm>
                    <a:prstGeom prst="rect">
                      <a:avLst/>
                    </a:prstGeom>
                    <a:noFill/>
                    <a:ln>
                      <a:noFill/>
                    </a:ln>
                  </pic:spPr>
                </pic:pic>
              </a:graphicData>
            </a:graphic>
          </wp:inline>
        </w:drawing>
      </w:r>
      <w:r>
        <w:rPr>
          <w:rFonts w:eastAsia="Times New Roman"/>
          <w:noProof/>
          <w:color w:val="0000FF"/>
        </w:rPr>
        <w:drawing>
          <wp:inline distT="0" distB="0" distL="0" distR="0">
            <wp:extent cx="154305" cy="154305"/>
            <wp:effectExtent l="0" t="0" r="0" b="0"/>
            <wp:docPr id="3" name="Afbeelding 3" descr="https://twitter.com/images/resources/twitter-bird-16x16.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tter.com/images/resources/twitter-bird-16x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rFonts w:eastAsia="Times New Roman"/>
          <w:noProof/>
          <w:color w:val="0000FF"/>
        </w:rPr>
        <w:drawing>
          <wp:inline distT="0" distB="0" distL="0" distR="0">
            <wp:extent cx="213995" cy="189865"/>
            <wp:effectExtent l="0" t="0" r="0" b="635"/>
            <wp:docPr id="2" name="Afbeelding 2" descr="http://www.huginonline.com/img/linked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ginonline.com/img/linked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eastAsia="Times New Roman"/>
          <w:noProof/>
          <w:color w:val="0000FF"/>
        </w:rPr>
        <w:drawing>
          <wp:inline distT="0" distB="0" distL="0" distR="0">
            <wp:extent cx="154305" cy="178435"/>
            <wp:effectExtent l="0" t="0" r="0" b="0"/>
            <wp:docPr id="1" name="Afbeelding 1" descr="http://www.huginonline.com/img/google_plu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uginonline.com/img/google_plu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78435"/>
                    </a:xfrm>
                    <a:prstGeom prst="rect">
                      <a:avLst/>
                    </a:prstGeom>
                    <a:noFill/>
                    <a:ln>
                      <a:noFill/>
                    </a:ln>
                  </pic:spPr>
                </pic:pic>
              </a:graphicData>
            </a:graphic>
          </wp:inline>
        </w:drawing>
      </w:r>
    </w:p>
    <w:p w:rsidR="004D6301" w:rsidRDefault="004D6301" w:rsidP="004D6301">
      <w:pPr>
        <w:jc w:val="center"/>
        <w:rPr>
          <w:rFonts w:eastAsia="Times New Roman"/>
        </w:rPr>
      </w:pPr>
      <w:r>
        <w:rPr>
          <w:rFonts w:eastAsia="Times New Roman"/>
        </w:rPr>
        <w:pict>
          <v:rect id="_x0000_i1025" style="width:453.6pt;height:.75pt" o:hralign="center" o:hrstd="t" o:hr="t" fillcolor="#a0a0a0" stroked="f"/>
        </w:pict>
      </w:r>
    </w:p>
    <w:p w:rsidR="004D6301" w:rsidRDefault="004D6301" w:rsidP="004D6301">
      <w:pPr>
        <w:spacing w:before="100" w:beforeAutospacing="1" w:after="100" w:afterAutospacing="1"/>
      </w:pPr>
      <w:r>
        <w:rPr>
          <w:rFonts w:ascii="Verdana" w:eastAsia="Times New Roman" w:hAnsi="Verdana"/>
          <w:color w:val="000000"/>
          <w:sz w:val="15"/>
          <w:szCs w:val="15"/>
        </w:rPr>
        <w:t>Kinepolis Press Office</w:t>
      </w:r>
      <w:r>
        <w:rPr>
          <w:rFonts w:ascii="Verdana" w:eastAsia="Times New Roman" w:hAnsi="Verdana"/>
          <w:color w:val="000000"/>
          <w:sz w:val="15"/>
          <w:szCs w:val="15"/>
        </w:rPr>
        <w:br/>
        <w:t xml:space="preserve">Corporate Communication </w:t>
      </w:r>
      <w:r>
        <w:rPr>
          <w:rFonts w:ascii="Verdana" w:eastAsia="Times New Roman" w:hAnsi="Verdana"/>
          <w:color w:val="000000"/>
          <w:sz w:val="15"/>
          <w:szCs w:val="15"/>
        </w:rPr>
        <w:br/>
        <w:t xml:space="preserve">Kinepolis Group </w:t>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p>
    <w:p w:rsidR="004D6301" w:rsidRDefault="004D6301" w:rsidP="004D6301">
      <w:pPr>
        <w:jc w:val="center"/>
        <w:rPr>
          <w:rFonts w:ascii="Arial" w:eastAsia="Times New Roman" w:hAnsi="Arial" w:cs="Arial"/>
          <w:sz w:val="20"/>
          <w:szCs w:val="20"/>
        </w:rPr>
      </w:pPr>
      <w:r>
        <w:rPr>
          <w:rFonts w:ascii="Arial" w:eastAsia="Times New Roman" w:hAnsi="Arial" w:cs="Arial"/>
          <w:sz w:val="20"/>
          <w:szCs w:val="20"/>
        </w:rPr>
        <w:pict>
          <v:rect id="_x0000_i1026" style="width:453.6pt;height:.75pt" o:hralign="center" o:hrstd="t" o:hr="t" fillcolor="#a0a0a0" stroked="f"/>
        </w:pict>
      </w:r>
    </w:p>
    <w:p w:rsidR="00087F62" w:rsidRDefault="00087F62"/>
    <w:sectPr w:rsidR="0008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01"/>
    <w:rsid w:val="00087F62"/>
    <w:rsid w:val="004D63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301"/>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D6301"/>
    <w:rPr>
      <w:color w:val="0000FF"/>
      <w:u w:val="single"/>
    </w:rPr>
  </w:style>
  <w:style w:type="paragraph" w:customStyle="1" w:styleId="hs1">
    <w:name w:val="hs1"/>
    <w:basedOn w:val="Standaard"/>
    <w:rsid w:val="004D6301"/>
    <w:pPr>
      <w:spacing w:before="100" w:beforeAutospacing="1" w:after="100" w:afterAutospacing="1"/>
    </w:pPr>
    <w:rPr>
      <w:sz w:val="20"/>
      <w:szCs w:val="20"/>
    </w:rPr>
  </w:style>
  <w:style w:type="paragraph" w:customStyle="1" w:styleId="hs24">
    <w:name w:val="hs24"/>
    <w:basedOn w:val="Standaard"/>
    <w:rsid w:val="004D6301"/>
    <w:pPr>
      <w:keepNext/>
      <w:spacing w:before="100" w:beforeAutospacing="1" w:after="100" w:afterAutospacing="1"/>
      <w:jc w:val="right"/>
    </w:pPr>
    <w:rPr>
      <w:sz w:val="20"/>
      <w:szCs w:val="20"/>
    </w:rPr>
  </w:style>
  <w:style w:type="paragraph" w:customStyle="1" w:styleId="hs25">
    <w:name w:val="hs25"/>
    <w:basedOn w:val="Standaard"/>
    <w:rsid w:val="004D6301"/>
    <w:pPr>
      <w:spacing w:before="100" w:beforeAutospacing="1" w:after="100" w:afterAutospacing="1"/>
      <w:jc w:val="right"/>
    </w:pPr>
    <w:rPr>
      <w:sz w:val="20"/>
      <w:szCs w:val="20"/>
    </w:rPr>
  </w:style>
  <w:style w:type="paragraph" w:customStyle="1" w:styleId="hs26">
    <w:name w:val="hs26"/>
    <w:basedOn w:val="Standaard"/>
    <w:rsid w:val="004D6301"/>
    <w:pPr>
      <w:keepNext/>
      <w:spacing w:before="100" w:beforeAutospacing="1" w:after="100" w:afterAutospacing="1"/>
      <w:jc w:val="center"/>
    </w:pPr>
    <w:rPr>
      <w:sz w:val="20"/>
      <w:szCs w:val="20"/>
    </w:rPr>
  </w:style>
  <w:style w:type="character" w:customStyle="1" w:styleId="hs110">
    <w:name w:val="hs110"/>
    <w:basedOn w:val="Standaardalinea-lettertype"/>
    <w:rsid w:val="004D6301"/>
    <w:rPr>
      <w:sz w:val="20"/>
      <w:szCs w:val="20"/>
    </w:rPr>
  </w:style>
  <w:style w:type="character" w:styleId="Zwaar">
    <w:name w:val="Strong"/>
    <w:basedOn w:val="Standaardalinea-lettertype"/>
    <w:uiPriority w:val="22"/>
    <w:qFormat/>
    <w:rsid w:val="004D6301"/>
    <w:rPr>
      <w:b/>
      <w:bCs/>
    </w:rPr>
  </w:style>
  <w:style w:type="paragraph" w:styleId="Ballontekst">
    <w:name w:val="Balloon Text"/>
    <w:basedOn w:val="Standaard"/>
    <w:link w:val="BallontekstChar"/>
    <w:uiPriority w:val="99"/>
    <w:semiHidden/>
    <w:unhideWhenUsed/>
    <w:rsid w:val="004D6301"/>
    <w:rPr>
      <w:rFonts w:ascii="Tahoma" w:hAnsi="Tahoma" w:cs="Tahoma"/>
      <w:sz w:val="16"/>
      <w:szCs w:val="16"/>
    </w:rPr>
  </w:style>
  <w:style w:type="character" w:customStyle="1" w:styleId="BallontekstChar">
    <w:name w:val="Ballontekst Char"/>
    <w:basedOn w:val="Standaardalinea-lettertype"/>
    <w:link w:val="Ballontekst"/>
    <w:uiPriority w:val="99"/>
    <w:semiHidden/>
    <w:rsid w:val="004D6301"/>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301"/>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D6301"/>
    <w:rPr>
      <w:color w:val="0000FF"/>
      <w:u w:val="single"/>
    </w:rPr>
  </w:style>
  <w:style w:type="paragraph" w:customStyle="1" w:styleId="hs1">
    <w:name w:val="hs1"/>
    <w:basedOn w:val="Standaard"/>
    <w:rsid w:val="004D6301"/>
    <w:pPr>
      <w:spacing w:before="100" w:beforeAutospacing="1" w:after="100" w:afterAutospacing="1"/>
    </w:pPr>
    <w:rPr>
      <w:sz w:val="20"/>
      <w:szCs w:val="20"/>
    </w:rPr>
  </w:style>
  <w:style w:type="paragraph" w:customStyle="1" w:styleId="hs24">
    <w:name w:val="hs24"/>
    <w:basedOn w:val="Standaard"/>
    <w:rsid w:val="004D6301"/>
    <w:pPr>
      <w:keepNext/>
      <w:spacing w:before="100" w:beforeAutospacing="1" w:after="100" w:afterAutospacing="1"/>
      <w:jc w:val="right"/>
    </w:pPr>
    <w:rPr>
      <w:sz w:val="20"/>
      <w:szCs w:val="20"/>
    </w:rPr>
  </w:style>
  <w:style w:type="paragraph" w:customStyle="1" w:styleId="hs25">
    <w:name w:val="hs25"/>
    <w:basedOn w:val="Standaard"/>
    <w:rsid w:val="004D6301"/>
    <w:pPr>
      <w:spacing w:before="100" w:beforeAutospacing="1" w:after="100" w:afterAutospacing="1"/>
      <w:jc w:val="right"/>
    </w:pPr>
    <w:rPr>
      <w:sz w:val="20"/>
      <w:szCs w:val="20"/>
    </w:rPr>
  </w:style>
  <w:style w:type="paragraph" w:customStyle="1" w:styleId="hs26">
    <w:name w:val="hs26"/>
    <w:basedOn w:val="Standaard"/>
    <w:rsid w:val="004D6301"/>
    <w:pPr>
      <w:keepNext/>
      <w:spacing w:before="100" w:beforeAutospacing="1" w:after="100" w:afterAutospacing="1"/>
      <w:jc w:val="center"/>
    </w:pPr>
    <w:rPr>
      <w:sz w:val="20"/>
      <w:szCs w:val="20"/>
    </w:rPr>
  </w:style>
  <w:style w:type="character" w:customStyle="1" w:styleId="hs110">
    <w:name w:val="hs110"/>
    <w:basedOn w:val="Standaardalinea-lettertype"/>
    <w:rsid w:val="004D6301"/>
    <w:rPr>
      <w:sz w:val="20"/>
      <w:szCs w:val="20"/>
    </w:rPr>
  </w:style>
  <w:style w:type="character" w:styleId="Zwaar">
    <w:name w:val="Strong"/>
    <w:basedOn w:val="Standaardalinea-lettertype"/>
    <w:uiPriority w:val="22"/>
    <w:qFormat/>
    <w:rsid w:val="004D6301"/>
    <w:rPr>
      <w:b/>
      <w:bCs/>
    </w:rPr>
  </w:style>
  <w:style w:type="paragraph" w:styleId="Ballontekst">
    <w:name w:val="Balloon Text"/>
    <w:basedOn w:val="Standaard"/>
    <w:link w:val="BallontekstChar"/>
    <w:uiPriority w:val="99"/>
    <w:semiHidden/>
    <w:unhideWhenUsed/>
    <w:rsid w:val="004D6301"/>
    <w:rPr>
      <w:rFonts w:ascii="Tahoma" w:hAnsi="Tahoma" w:cs="Tahoma"/>
      <w:sz w:val="16"/>
      <w:szCs w:val="16"/>
    </w:rPr>
  </w:style>
  <w:style w:type="character" w:customStyle="1" w:styleId="BallontekstChar">
    <w:name w:val="Ballontekst Char"/>
    <w:basedOn w:val="Standaardalinea-lettertype"/>
    <w:link w:val="Ballontekst"/>
    <w:uiPriority w:val="99"/>
    <w:semiHidden/>
    <w:rsid w:val="004D6301"/>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php?u=http%3A%2F%2Fwww.thomsonreutersone.com%2FreleaseDetails.faces?rId=1744014"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investors.kinepolis.com" TargetMode="External"/><Relationship Id="rId12" Type="http://schemas.openxmlformats.org/officeDocument/2006/relationships/hyperlink" Target="http://www.linkedin.com/shareArticle?mini=true&amp;url=http%3A%2F%2Fwww.thomsonreutersone.com%2FreleaseDetails.faces?rId=1744014&amp;title=Update%20met%20betrekking%20tot%20het%20inkoopprogramma%20eigen%20aandelen%20(18/11/2013)&amp;summar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investors.kinepolis.com/" TargetMode="External"/><Relationship Id="rId15" Type="http://schemas.openxmlformats.org/officeDocument/2006/relationships/image" Target="media/image5.png"/><Relationship Id="rId10" Type="http://schemas.openxmlformats.org/officeDocument/2006/relationships/hyperlink" Target="http://twitter.com/share?url=http%3A%2F%2Fwww.thomsonreutersone.com%2FreleaseDetails.faces?rId=1744014&amp;text=Update%20met%20betrekking%20tot%20het%20inkoopprogramma%20eigen%20aandelen%20(18/11/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us.google.com/share?url=http%3A%2F%2Fwww.thomsonreutersone.com%2FreleaseDetails.faces?rId=174401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Office Word</Application>
  <DocSecurity>0</DocSecurity>
  <Lines>11</Lines>
  <Paragraphs>3</Paragraphs>
  <ScaleCrop>false</ScaleCrop>
  <Company>HP</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Gezels    (VFB)</dc:creator>
  <cp:lastModifiedBy>Luc Gezels    (VFB)</cp:lastModifiedBy>
  <cp:revision>1</cp:revision>
  <dcterms:created xsi:type="dcterms:W3CDTF">2013-11-18T16:56:00Z</dcterms:created>
  <dcterms:modified xsi:type="dcterms:W3CDTF">2013-11-18T16:56:00Z</dcterms:modified>
</cp:coreProperties>
</file>